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6BE3" w14:textId="77777777" w:rsidR="00417139" w:rsidRDefault="00417139" w:rsidP="00A77471">
      <w:pPr>
        <w:pStyle w:val="Heading1"/>
        <w:spacing w:before="0"/>
        <w:jc w:val="center"/>
        <w:rPr>
          <w:sz w:val="48"/>
          <w:szCs w:val="48"/>
        </w:rPr>
      </w:pPr>
      <w:r w:rsidRPr="009D3207">
        <w:rPr>
          <w:sz w:val="48"/>
          <w:szCs w:val="48"/>
        </w:rPr>
        <w:t>Individual State Agency Fiscal Note</w:t>
      </w:r>
    </w:p>
    <w:p w14:paraId="2B86DEF3" w14:textId="77777777" w:rsidR="00417139" w:rsidRPr="009D3207" w:rsidRDefault="00417139" w:rsidP="00A77471"/>
    <w:tbl>
      <w:tblPr>
        <w:tblW w:w="1114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22"/>
        <w:gridCol w:w="4728"/>
        <w:gridCol w:w="3296"/>
      </w:tblGrid>
      <w:tr w:rsidR="00417139" w14:paraId="6D0AAB23" w14:textId="77777777" w:rsidTr="00366F6F">
        <w:trPr>
          <w:trHeight w:val="483"/>
          <w:jc w:val="center"/>
        </w:trPr>
        <w:tc>
          <w:tcPr>
            <w:tcW w:w="3122" w:type="dxa"/>
            <w:tcBorders>
              <w:top w:val="single" w:sz="12" w:space="0" w:color="auto"/>
              <w:left w:val="single" w:sz="12" w:space="0" w:color="auto"/>
              <w:bottom w:val="single" w:sz="12" w:space="0" w:color="auto"/>
              <w:right w:val="single" w:sz="12" w:space="0" w:color="auto"/>
            </w:tcBorders>
          </w:tcPr>
          <w:p w14:paraId="7023D0F0" w14:textId="77777777" w:rsidR="00417139" w:rsidRPr="00366F6F" w:rsidRDefault="00417139" w:rsidP="00366F6F">
            <w:pPr>
              <w:outlineLvl w:val="0"/>
              <w:rPr>
                <w:sz w:val="20"/>
              </w:rPr>
            </w:pPr>
            <w:bookmarkStart w:id="0" w:name="BillNumber"/>
            <w:bookmarkEnd w:id="0"/>
            <w:r w:rsidRPr="00366F6F">
              <w:rPr>
                <w:b/>
                <w:sz w:val="20"/>
              </w:rPr>
              <w:t>Bill Number: SB 5770</w:t>
            </w:r>
          </w:p>
        </w:tc>
        <w:tc>
          <w:tcPr>
            <w:tcW w:w="4728" w:type="dxa"/>
            <w:vMerge w:val="restart"/>
            <w:tcBorders>
              <w:top w:val="single" w:sz="12" w:space="0" w:color="auto"/>
              <w:left w:val="single" w:sz="12" w:space="0" w:color="auto"/>
              <w:right w:val="single" w:sz="12" w:space="0" w:color="auto"/>
            </w:tcBorders>
          </w:tcPr>
          <w:p w14:paraId="29137E07" w14:textId="77777777" w:rsidR="00417139" w:rsidRPr="00366F6F" w:rsidRDefault="00417139" w:rsidP="00366F6F">
            <w:pPr>
              <w:outlineLvl w:val="0"/>
              <w:rPr>
                <w:sz w:val="20"/>
              </w:rPr>
            </w:pPr>
            <w:bookmarkStart w:id="1" w:name="BillTitle"/>
            <w:bookmarkEnd w:id="1"/>
            <w:r w:rsidRPr="00366F6F">
              <w:rPr>
                <w:b/>
                <w:sz w:val="20"/>
              </w:rPr>
              <w:t>Bill Title: AN ACT Relating to state and local property tax reform</w:t>
            </w:r>
          </w:p>
        </w:tc>
        <w:tc>
          <w:tcPr>
            <w:tcW w:w="3296" w:type="dxa"/>
            <w:tcBorders>
              <w:top w:val="single" w:sz="12" w:space="0" w:color="auto"/>
              <w:left w:val="single" w:sz="12" w:space="0" w:color="auto"/>
              <w:bottom w:val="single" w:sz="12" w:space="0" w:color="auto"/>
              <w:right w:val="single" w:sz="12" w:space="0" w:color="auto"/>
            </w:tcBorders>
          </w:tcPr>
          <w:p w14:paraId="6BD68950" w14:textId="77777777" w:rsidR="00417139" w:rsidRPr="00366F6F" w:rsidRDefault="00417139" w:rsidP="00366F6F">
            <w:pPr>
              <w:outlineLvl w:val="0"/>
              <w:rPr>
                <w:b/>
                <w:sz w:val="20"/>
              </w:rPr>
            </w:pPr>
            <w:r w:rsidRPr="00366F6F">
              <w:rPr>
                <w:b/>
                <w:sz w:val="20"/>
              </w:rPr>
              <w:t>Agency:</w:t>
            </w:r>
            <w:r w:rsidRPr="00366F6F">
              <w:rPr>
                <w:b/>
                <w:sz w:val="20"/>
              </w:rPr>
              <w:tab/>
              <w:t>140</w:t>
            </w:r>
          </w:p>
          <w:p w14:paraId="205EB9CD" w14:textId="77777777" w:rsidR="00417139" w:rsidRPr="00366F6F" w:rsidRDefault="00417139" w:rsidP="00366F6F">
            <w:pPr>
              <w:jc w:val="center"/>
              <w:outlineLvl w:val="0"/>
              <w:rPr>
                <w:b/>
                <w:sz w:val="20"/>
              </w:rPr>
            </w:pPr>
            <w:r w:rsidRPr="00366F6F">
              <w:rPr>
                <w:b/>
                <w:sz w:val="20"/>
              </w:rPr>
              <w:t>Department of Revenue</w:t>
            </w:r>
          </w:p>
        </w:tc>
      </w:tr>
      <w:tr w:rsidR="00417139" w14:paraId="2728F3B9" w14:textId="77777777" w:rsidTr="00366F6F">
        <w:trPr>
          <w:trHeight w:val="780"/>
          <w:jc w:val="center"/>
        </w:trPr>
        <w:tc>
          <w:tcPr>
            <w:tcW w:w="3122" w:type="dxa"/>
            <w:tcBorders>
              <w:top w:val="single" w:sz="12" w:space="0" w:color="auto"/>
              <w:left w:val="nil"/>
              <w:bottom w:val="nil"/>
              <w:right w:val="single" w:sz="12" w:space="0" w:color="auto"/>
            </w:tcBorders>
          </w:tcPr>
          <w:p w14:paraId="4D544A5C" w14:textId="77777777" w:rsidR="00417139" w:rsidRPr="00366F6F" w:rsidRDefault="00417139" w:rsidP="00366F6F">
            <w:pPr>
              <w:pStyle w:val="Caption"/>
              <w:spacing w:before="0" w:after="0"/>
              <w:rPr>
                <w:sz w:val="24"/>
              </w:rPr>
            </w:pPr>
          </w:p>
          <w:p w14:paraId="35B593F3" w14:textId="77777777" w:rsidR="00417139" w:rsidRPr="00366F6F" w:rsidRDefault="00417139" w:rsidP="00366F6F">
            <w:pPr>
              <w:pStyle w:val="Caption"/>
              <w:spacing w:before="0" w:after="0"/>
              <w:rPr>
                <w:sz w:val="24"/>
              </w:rPr>
            </w:pPr>
            <w:r w:rsidRPr="00366F6F">
              <w:rPr>
                <w:sz w:val="24"/>
              </w:rPr>
              <w:t>Part I: Estimates</w:t>
            </w:r>
          </w:p>
          <w:p w14:paraId="11F993AB" w14:textId="77777777" w:rsidR="00417139" w:rsidRPr="00366F6F" w:rsidRDefault="00417139" w:rsidP="00F67AA8">
            <w:pPr>
              <w:rPr>
                <w:sz w:val="20"/>
              </w:rPr>
            </w:pPr>
            <w:bookmarkStart w:id="2" w:name="NoImpact"/>
            <w:bookmarkEnd w:id="2"/>
            <w:r w:rsidRPr="00366F6F">
              <w:rPr>
                <w:sz w:val="20"/>
              </w:rPr>
              <w:t>[ ] No Fiscal Impact</w:t>
            </w:r>
          </w:p>
        </w:tc>
        <w:tc>
          <w:tcPr>
            <w:tcW w:w="4728" w:type="dxa"/>
            <w:vMerge/>
            <w:tcBorders>
              <w:left w:val="single" w:sz="12" w:space="0" w:color="auto"/>
              <w:bottom w:val="single" w:sz="12" w:space="0" w:color="auto"/>
              <w:right w:val="single" w:sz="12" w:space="0" w:color="auto"/>
            </w:tcBorders>
          </w:tcPr>
          <w:p w14:paraId="2EA2B80D" w14:textId="77777777" w:rsidR="00417139" w:rsidRPr="00366F6F" w:rsidRDefault="00417139" w:rsidP="00366F6F">
            <w:pPr>
              <w:outlineLvl w:val="0"/>
              <w:rPr>
                <w:b/>
                <w:sz w:val="20"/>
              </w:rPr>
            </w:pPr>
          </w:p>
        </w:tc>
        <w:tc>
          <w:tcPr>
            <w:tcW w:w="3296" w:type="dxa"/>
            <w:tcBorders>
              <w:top w:val="single" w:sz="12" w:space="0" w:color="auto"/>
              <w:left w:val="single" w:sz="12" w:space="0" w:color="auto"/>
              <w:bottom w:val="nil"/>
              <w:right w:val="nil"/>
            </w:tcBorders>
          </w:tcPr>
          <w:p w14:paraId="337B95A7" w14:textId="77777777" w:rsidR="00417139" w:rsidRPr="00366F6F" w:rsidRDefault="00417139" w:rsidP="00366F6F">
            <w:pPr>
              <w:outlineLvl w:val="0"/>
              <w:rPr>
                <w:b/>
                <w:sz w:val="20"/>
              </w:rPr>
            </w:pPr>
          </w:p>
        </w:tc>
      </w:tr>
    </w:tbl>
    <w:p w14:paraId="691AC1B1" w14:textId="77777777" w:rsidR="00417139" w:rsidRDefault="00417139" w:rsidP="00A77471">
      <w:pPr>
        <w:outlineLvl w:val="0"/>
        <w:rPr>
          <w:b/>
        </w:rPr>
      </w:pPr>
    </w:p>
    <w:p w14:paraId="42859A10" w14:textId="77777777" w:rsidR="00417139" w:rsidRDefault="00417139" w:rsidP="00A77471">
      <w:pPr>
        <w:outlineLvl w:val="0"/>
        <w:rPr>
          <w:b/>
        </w:rPr>
      </w:pPr>
    </w:p>
    <w:p w14:paraId="1A742DD5" w14:textId="77777777" w:rsidR="00417139" w:rsidRDefault="00417139" w:rsidP="00A77471">
      <w:pPr>
        <w:pStyle w:val="Caption"/>
        <w:keepNext/>
        <w:spacing w:after="0"/>
        <w:rPr>
          <w:sz w:val="24"/>
          <w:szCs w:val="24"/>
        </w:rPr>
      </w:pPr>
      <w:r w:rsidRPr="00C91230">
        <w:rPr>
          <w:sz w:val="24"/>
          <w:szCs w:val="24"/>
        </w:rPr>
        <w:t xml:space="preserve">Estimated Cash Receipts to: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8"/>
        <w:gridCol w:w="1620"/>
        <w:gridCol w:w="1620"/>
        <w:gridCol w:w="1620"/>
        <w:gridCol w:w="1800"/>
        <w:gridCol w:w="1728"/>
      </w:tblGrid>
      <w:tr w:rsidR="00417139" w14:paraId="0C6D04C5" w14:textId="77777777" w:rsidTr="00366F6F">
        <w:tc>
          <w:tcPr>
            <w:tcW w:w="2628" w:type="dxa"/>
            <w:tcBorders>
              <w:top w:val="single" w:sz="12" w:space="0" w:color="auto"/>
            </w:tcBorders>
            <w:shd w:val="clear" w:color="auto" w:fill="C0C0C0"/>
            <w:vAlign w:val="center"/>
          </w:tcPr>
          <w:p w14:paraId="760F0BEF"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b/>
                <w:sz w:val="18"/>
                <w:szCs w:val="18"/>
              </w:rPr>
            </w:pPr>
            <w:bookmarkStart w:id="3" w:name="EstimatedCashReceiptsHeader"/>
            <w:bookmarkEnd w:id="3"/>
            <w:r w:rsidRPr="00366F6F">
              <w:rPr>
                <w:b/>
                <w:sz w:val="18"/>
                <w:szCs w:val="18"/>
              </w:rPr>
              <w:t>Fund</w:t>
            </w:r>
          </w:p>
        </w:tc>
        <w:tc>
          <w:tcPr>
            <w:tcW w:w="1620" w:type="dxa"/>
            <w:tcBorders>
              <w:top w:val="single" w:sz="12" w:space="0" w:color="auto"/>
            </w:tcBorders>
            <w:shd w:val="clear" w:color="auto" w:fill="C0C0C0"/>
            <w:vAlign w:val="center"/>
          </w:tcPr>
          <w:p w14:paraId="3A49BB92" w14:textId="77777777" w:rsidR="002A6A80" w:rsidRDefault="00011695">
            <w:pPr>
              <w:jc w:val="center"/>
            </w:pPr>
            <w:r>
              <w:rPr>
                <w:sz w:val="18"/>
                <w:szCs w:val="18"/>
              </w:rPr>
              <w:t>Fiscal Year 2024</w:t>
            </w:r>
          </w:p>
        </w:tc>
        <w:tc>
          <w:tcPr>
            <w:tcW w:w="1620" w:type="dxa"/>
            <w:tcBorders>
              <w:top w:val="single" w:sz="12" w:space="0" w:color="auto"/>
            </w:tcBorders>
            <w:shd w:val="clear" w:color="auto" w:fill="C0C0C0"/>
            <w:vAlign w:val="center"/>
          </w:tcPr>
          <w:p w14:paraId="39ADB1AC" w14:textId="77777777" w:rsidR="002A6A80" w:rsidRDefault="00011695">
            <w:pPr>
              <w:jc w:val="center"/>
            </w:pPr>
            <w:r>
              <w:rPr>
                <w:sz w:val="18"/>
                <w:szCs w:val="18"/>
              </w:rPr>
              <w:t>Fiscal Year 2025</w:t>
            </w:r>
          </w:p>
        </w:tc>
        <w:tc>
          <w:tcPr>
            <w:tcW w:w="1620" w:type="dxa"/>
            <w:tcBorders>
              <w:top w:val="single" w:sz="12" w:space="0" w:color="auto"/>
            </w:tcBorders>
            <w:shd w:val="clear" w:color="auto" w:fill="C0C0C0"/>
            <w:vAlign w:val="center"/>
          </w:tcPr>
          <w:p w14:paraId="5785E0F6" w14:textId="77777777" w:rsidR="002A6A80" w:rsidRDefault="00011695">
            <w:pPr>
              <w:jc w:val="center"/>
            </w:pPr>
            <w:r>
              <w:rPr>
                <w:sz w:val="18"/>
                <w:szCs w:val="18"/>
              </w:rPr>
              <w:t>2023-2025 Total</w:t>
            </w:r>
          </w:p>
        </w:tc>
        <w:tc>
          <w:tcPr>
            <w:tcW w:w="1800" w:type="dxa"/>
            <w:tcBorders>
              <w:top w:val="single" w:sz="12" w:space="0" w:color="auto"/>
            </w:tcBorders>
            <w:shd w:val="clear" w:color="auto" w:fill="C0C0C0"/>
            <w:vAlign w:val="center"/>
          </w:tcPr>
          <w:p w14:paraId="4614102A" w14:textId="77777777" w:rsidR="002A6A80" w:rsidRDefault="00011695">
            <w:pPr>
              <w:jc w:val="center"/>
            </w:pPr>
            <w:r>
              <w:rPr>
                <w:sz w:val="18"/>
                <w:szCs w:val="18"/>
              </w:rPr>
              <w:t>2025-27 Biennium</w:t>
            </w:r>
          </w:p>
        </w:tc>
        <w:tc>
          <w:tcPr>
            <w:tcW w:w="1728" w:type="dxa"/>
            <w:tcBorders>
              <w:top w:val="single" w:sz="12" w:space="0" w:color="auto"/>
            </w:tcBorders>
            <w:shd w:val="clear" w:color="auto" w:fill="C0C0C0"/>
            <w:vAlign w:val="center"/>
          </w:tcPr>
          <w:p w14:paraId="0ABCEA16" w14:textId="77777777" w:rsidR="002A6A80" w:rsidRDefault="00011695">
            <w:pPr>
              <w:jc w:val="center"/>
            </w:pPr>
            <w:r>
              <w:rPr>
                <w:sz w:val="18"/>
                <w:szCs w:val="18"/>
              </w:rPr>
              <w:t>2027-29 Biennium</w:t>
            </w:r>
          </w:p>
        </w:tc>
      </w:tr>
      <w:tr w:rsidR="00417139" w14:paraId="5D0CCC9B" w14:textId="77777777" w:rsidTr="00366F6F">
        <w:tc>
          <w:tcPr>
            <w:tcW w:w="2628" w:type="dxa"/>
            <w:vAlign w:val="center"/>
          </w:tcPr>
          <w:p w14:paraId="4D5CA493" w14:textId="77777777" w:rsidR="002A6A80" w:rsidRDefault="00011695">
            <w:r>
              <w:rPr>
                <w:sz w:val="18"/>
                <w:szCs w:val="18"/>
              </w:rPr>
              <w:t>GF-State Property Tax</w:t>
            </w:r>
          </w:p>
        </w:tc>
        <w:tc>
          <w:tcPr>
            <w:tcW w:w="1620" w:type="dxa"/>
            <w:tcBorders>
              <w:bottom w:val="double" w:sz="4" w:space="0" w:color="auto"/>
            </w:tcBorders>
            <w:vAlign w:val="center"/>
          </w:tcPr>
          <w:p w14:paraId="76227F47" w14:textId="77777777" w:rsidR="002A6A80" w:rsidRDefault="00011695">
            <w:pPr>
              <w:jc w:val="right"/>
            </w:pPr>
            <w:r>
              <w:rPr>
                <w:sz w:val="18"/>
                <w:szCs w:val="18"/>
              </w:rPr>
              <w:t>48,000,000</w:t>
            </w:r>
          </w:p>
        </w:tc>
        <w:tc>
          <w:tcPr>
            <w:tcW w:w="1620" w:type="dxa"/>
            <w:tcBorders>
              <w:bottom w:val="double" w:sz="4" w:space="0" w:color="auto"/>
            </w:tcBorders>
            <w:vAlign w:val="center"/>
          </w:tcPr>
          <w:p w14:paraId="2479CBDE" w14:textId="77777777" w:rsidR="002A6A80" w:rsidRDefault="00011695">
            <w:pPr>
              <w:jc w:val="right"/>
            </w:pPr>
            <w:r>
              <w:rPr>
                <w:sz w:val="18"/>
                <w:szCs w:val="18"/>
              </w:rPr>
              <w:t>143,000,000</w:t>
            </w:r>
          </w:p>
        </w:tc>
        <w:tc>
          <w:tcPr>
            <w:tcW w:w="1620" w:type="dxa"/>
            <w:tcBorders>
              <w:bottom w:val="double" w:sz="4" w:space="0" w:color="auto"/>
            </w:tcBorders>
            <w:vAlign w:val="center"/>
          </w:tcPr>
          <w:p w14:paraId="6F8ECDE6" w14:textId="77777777" w:rsidR="002A6A80" w:rsidRDefault="00011695">
            <w:pPr>
              <w:jc w:val="right"/>
            </w:pPr>
            <w:r>
              <w:rPr>
                <w:sz w:val="18"/>
                <w:szCs w:val="18"/>
              </w:rPr>
              <w:t>191,000,000</w:t>
            </w:r>
          </w:p>
        </w:tc>
        <w:tc>
          <w:tcPr>
            <w:tcW w:w="1800" w:type="dxa"/>
            <w:tcBorders>
              <w:bottom w:val="double" w:sz="4" w:space="0" w:color="auto"/>
            </w:tcBorders>
            <w:vAlign w:val="center"/>
          </w:tcPr>
          <w:p w14:paraId="547DF0FB" w14:textId="77777777" w:rsidR="002A6A80" w:rsidRDefault="00011695">
            <w:pPr>
              <w:jc w:val="right"/>
            </w:pPr>
            <w:r>
              <w:rPr>
                <w:sz w:val="18"/>
                <w:szCs w:val="18"/>
              </w:rPr>
              <w:t>598,000,000</w:t>
            </w:r>
          </w:p>
        </w:tc>
        <w:tc>
          <w:tcPr>
            <w:tcW w:w="1728" w:type="dxa"/>
            <w:tcBorders>
              <w:bottom w:val="double" w:sz="4" w:space="0" w:color="auto"/>
            </w:tcBorders>
            <w:vAlign w:val="center"/>
          </w:tcPr>
          <w:p w14:paraId="7E92B3E8" w14:textId="77777777" w:rsidR="002A6A80" w:rsidRDefault="00011695">
            <w:pPr>
              <w:jc w:val="right"/>
            </w:pPr>
            <w:r>
              <w:rPr>
                <w:sz w:val="18"/>
                <w:szCs w:val="18"/>
              </w:rPr>
              <w:t>1,062,000,000</w:t>
            </w:r>
          </w:p>
        </w:tc>
      </w:tr>
      <w:tr w:rsidR="00417139" w14:paraId="64DFA4AD" w14:textId="77777777" w:rsidTr="00366F6F">
        <w:tc>
          <w:tcPr>
            <w:tcW w:w="2628" w:type="dxa"/>
            <w:tcBorders>
              <w:bottom w:val="single" w:sz="12" w:space="0" w:color="auto"/>
            </w:tcBorders>
          </w:tcPr>
          <w:p w14:paraId="4F1243EE"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jc w:val="right"/>
              <w:outlineLvl w:val="0"/>
              <w:rPr>
                <w:sz w:val="20"/>
              </w:rPr>
            </w:pPr>
            <w:bookmarkStart w:id="4" w:name="EstimatedCashReceiptsTotals"/>
            <w:bookmarkEnd w:id="4"/>
            <w:r w:rsidRPr="00366F6F">
              <w:rPr>
                <w:sz w:val="20"/>
              </w:rPr>
              <w:t>Total</w:t>
            </w:r>
          </w:p>
        </w:tc>
        <w:tc>
          <w:tcPr>
            <w:tcW w:w="1620" w:type="dxa"/>
            <w:tcBorders>
              <w:top w:val="double" w:sz="4" w:space="0" w:color="auto"/>
              <w:bottom w:val="single" w:sz="12" w:space="0" w:color="auto"/>
            </w:tcBorders>
            <w:vAlign w:val="center"/>
          </w:tcPr>
          <w:p w14:paraId="0AC4D157" w14:textId="77777777" w:rsidR="002A6A80" w:rsidRDefault="00011695">
            <w:pPr>
              <w:jc w:val="right"/>
            </w:pPr>
            <w:r>
              <w:rPr>
                <w:sz w:val="18"/>
                <w:szCs w:val="18"/>
              </w:rPr>
              <w:t>48,000,000</w:t>
            </w:r>
          </w:p>
        </w:tc>
        <w:tc>
          <w:tcPr>
            <w:tcW w:w="1620" w:type="dxa"/>
            <w:tcBorders>
              <w:top w:val="double" w:sz="4" w:space="0" w:color="auto"/>
              <w:bottom w:val="single" w:sz="12" w:space="0" w:color="auto"/>
            </w:tcBorders>
            <w:vAlign w:val="center"/>
          </w:tcPr>
          <w:p w14:paraId="3B9F9BD8" w14:textId="77777777" w:rsidR="002A6A80" w:rsidRDefault="00011695">
            <w:pPr>
              <w:jc w:val="right"/>
            </w:pPr>
            <w:r>
              <w:rPr>
                <w:sz w:val="18"/>
                <w:szCs w:val="18"/>
              </w:rPr>
              <w:t>143,000,000</w:t>
            </w:r>
          </w:p>
        </w:tc>
        <w:tc>
          <w:tcPr>
            <w:tcW w:w="1620" w:type="dxa"/>
            <w:tcBorders>
              <w:top w:val="double" w:sz="4" w:space="0" w:color="auto"/>
              <w:bottom w:val="single" w:sz="12" w:space="0" w:color="auto"/>
            </w:tcBorders>
            <w:vAlign w:val="center"/>
          </w:tcPr>
          <w:p w14:paraId="752A91DF" w14:textId="77777777" w:rsidR="002A6A80" w:rsidRDefault="00011695">
            <w:pPr>
              <w:jc w:val="right"/>
            </w:pPr>
            <w:r>
              <w:rPr>
                <w:sz w:val="18"/>
                <w:szCs w:val="18"/>
              </w:rPr>
              <w:t>191,000,000</w:t>
            </w:r>
          </w:p>
        </w:tc>
        <w:tc>
          <w:tcPr>
            <w:tcW w:w="1800" w:type="dxa"/>
            <w:tcBorders>
              <w:top w:val="double" w:sz="4" w:space="0" w:color="auto"/>
              <w:bottom w:val="single" w:sz="12" w:space="0" w:color="auto"/>
            </w:tcBorders>
            <w:vAlign w:val="center"/>
          </w:tcPr>
          <w:p w14:paraId="7D2B0122" w14:textId="77777777" w:rsidR="002A6A80" w:rsidRDefault="00011695">
            <w:pPr>
              <w:jc w:val="right"/>
            </w:pPr>
            <w:r>
              <w:rPr>
                <w:sz w:val="18"/>
                <w:szCs w:val="18"/>
              </w:rPr>
              <w:t>598,000,000</w:t>
            </w:r>
          </w:p>
        </w:tc>
        <w:tc>
          <w:tcPr>
            <w:tcW w:w="1728" w:type="dxa"/>
            <w:tcBorders>
              <w:top w:val="double" w:sz="4" w:space="0" w:color="auto"/>
              <w:bottom w:val="single" w:sz="12" w:space="0" w:color="auto"/>
            </w:tcBorders>
            <w:vAlign w:val="center"/>
          </w:tcPr>
          <w:p w14:paraId="75D76F8F" w14:textId="77777777" w:rsidR="002A6A80" w:rsidRDefault="00011695">
            <w:pPr>
              <w:jc w:val="right"/>
            </w:pPr>
            <w:r>
              <w:rPr>
                <w:sz w:val="18"/>
                <w:szCs w:val="18"/>
              </w:rPr>
              <w:t>1,062,000,000</w:t>
            </w:r>
          </w:p>
        </w:tc>
      </w:tr>
    </w:tbl>
    <w:p w14:paraId="72BD780E" w14:textId="77777777" w:rsidR="00417139" w:rsidRPr="00711A3B" w:rsidRDefault="00417139" w:rsidP="00A77471"/>
    <w:p w14:paraId="69B3B0E9" w14:textId="77777777" w:rsidR="00417139" w:rsidRDefault="00417139" w:rsidP="00A77471">
      <w:pPr>
        <w:pStyle w:val="Caption"/>
        <w:keepNext/>
        <w:spacing w:after="0"/>
        <w:rPr>
          <w:sz w:val="24"/>
          <w:szCs w:val="24"/>
        </w:rPr>
      </w:pPr>
      <w:r w:rsidRPr="00C91230">
        <w:rPr>
          <w:sz w:val="24"/>
          <w:szCs w:val="24"/>
        </w:rPr>
        <w:t xml:space="preserve">Estimated Expenditures from: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8"/>
        <w:gridCol w:w="1620"/>
        <w:gridCol w:w="1620"/>
        <w:gridCol w:w="1620"/>
        <w:gridCol w:w="1800"/>
        <w:gridCol w:w="1728"/>
      </w:tblGrid>
      <w:tr w:rsidR="00417139" w14:paraId="773EAE2B" w14:textId="77777777" w:rsidTr="00366F6F">
        <w:tc>
          <w:tcPr>
            <w:tcW w:w="2628" w:type="dxa"/>
            <w:tcBorders>
              <w:top w:val="single" w:sz="12" w:space="0" w:color="auto"/>
            </w:tcBorders>
            <w:shd w:val="clear" w:color="auto" w:fill="C0C0C0"/>
            <w:vAlign w:val="center"/>
          </w:tcPr>
          <w:p w14:paraId="2D96D65A"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jc w:val="center"/>
              <w:outlineLvl w:val="0"/>
              <w:rPr>
                <w:sz w:val="20"/>
              </w:rPr>
            </w:pPr>
            <w:bookmarkStart w:id="5" w:name="EstimatedExpendituresHeader"/>
            <w:bookmarkEnd w:id="5"/>
          </w:p>
        </w:tc>
        <w:tc>
          <w:tcPr>
            <w:tcW w:w="1620" w:type="dxa"/>
            <w:tcBorders>
              <w:top w:val="single" w:sz="12" w:space="0" w:color="auto"/>
            </w:tcBorders>
            <w:shd w:val="clear" w:color="auto" w:fill="C0C0C0"/>
            <w:vAlign w:val="center"/>
          </w:tcPr>
          <w:p w14:paraId="0EAA1044" w14:textId="77777777" w:rsidR="002A6A80" w:rsidRDefault="00011695">
            <w:pPr>
              <w:jc w:val="center"/>
            </w:pPr>
            <w:r>
              <w:rPr>
                <w:sz w:val="18"/>
                <w:szCs w:val="18"/>
              </w:rPr>
              <w:t>Fiscal Year 2024</w:t>
            </w:r>
          </w:p>
        </w:tc>
        <w:tc>
          <w:tcPr>
            <w:tcW w:w="1620" w:type="dxa"/>
            <w:tcBorders>
              <w:top w:val="single" w:sz="12" w:space="0" w:color="auto"/>
            </w:tcBorders>
            <w:shd w:val="clear" w:color="auto" w:fill="C0C0C0"/>
            <w:vAlign w:val="center"/>
          </w:tcPr>
          <w:p w14:paraId="2D3EC4D0" w14:textId="77777777" w:rsidR="002A6A80" w:rsidRDefault="00011695">
            <w:pPr>
              <w:jc w:val="center"/>
            </w:pPr>
            <w:r>
              <w:rPr>
                <w:sz w:val="18"/>
                <w:szCs w:val="18"/>
              </w:rPr>
              <w:t>Fiscal Year 2025</w:t>
            </w:r>
          </w:p>
        </w:tc>
        <w:tc>
          <w:tcPr>
            <w:tcW w:w="1620" w:type="dxa"/>
            <w:tcBorders>
              <w:top w:val="single" w:sz="12" w:space="0" w:color="auto"/>
            </w:tcBorders>
            <w:shd w:val="clear" w:color="auto" w:fill="C0C0C0"/>
            <w:vAlign w:val="center"/>
          </w:tcPr>
          <w:p w14:paraId="5C113DAC" w14:textId="77777777" w:rsidR="002A6A80" w:rsidRDefault="00011695">
            <w:pPr>
              <w:jc w:val="center"/>
            </w:pPr>
            <w:r>
              <w:rPr>
                <w:sz w:val="18"/>
                <w:szCs w:val="18"/>
              </w:rPr>
              <w:t>2023-2025 Total</w:t>
            </w:r>
          </w:p>
        </w:tc>
        <w:tc>
          <w:tcPr>
            <w:tcW w:w="1800" w:type="dxa"/>
            <w:tcBorders>
              <w:top w:val="single" w:sz="12" w:space="0" w:color="auto"/>
            </w:tcBorders>
            <w:shd w:val="clear" w:color="auto" w:fill="C0C0C0"/>
            <w:vAlign w:val="center"/>
          </w:tcPr>
          <w:p w14:paraId="1C77CEB9" w14:textId="77777777" w:rsidR="002A6A80" w:rsidRDefault="00011695">
            <w:pPr>
              <w:jc w:val="center"/>
            </w:pPr>
            <w:r>
              <w:rPr>
                <w:sz w:val="18"/>
                <w:szCs w:val="18"/>
              </w:rPr>
              <w:t>2025-27 Biennium</w:t>
            </w:r>
          </w:p>
        </w:tc>
        <w:tc>
          <w:tcPr>
            <w:tcW w:w="1728" w:type="dxa"/>
            <w:tcBorders>
              <w:top w:val="single" w:sz="12" w:space="0" w:color="auto"/>
            </w:tcBorders>
            <w:shd w:val="clear" w:color="auto" w:fill="C0C0C0"/>
            <w:vAlign w:val="center"/>
          </w:tcPr>
          <w:p w14:paraId="3B423D83" w14:textId="77777777" w:rsidR="002A6A80" w:rsidRDefault="00011695">
            <w:pPr>
              <w:jc w:val="center"/>
            </w:pPr>
            <w:r>
              <w:rPr>
                <w:sz w:val="18"/>
                <w:szCs w:val="18"/>
              </w:rPr>
              <w:t>2027-29 Biennium</w:t>
            </w:r>
          </w:p>
        </w:tc>
      </w:tr>
      <w:tr w:rsidR="00417139" w14:paraId="580DD652" w14:textId="77777777" w:rsidTr="00366F6F">
        <w:tc>
          <w:tcPr>
            <w:tcW w:w="2628" w:type="dxa"/>
          </w:tcPr>
          <w:p w14:paraId="3AAC90D2"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b/>
                <w:sz w:val="20"/>
              </w:rPr>
            </w:pPr>
            <w:bookmarkStart w:id="6" w:name="EstimatedExpendituresStaffYears"/>
            <w:bookmarkEnd w:id="6"/>
            <w:r w:rsidRPr="00366F6F">
              <w:rPr>
                <w:b/>
                <w:sz w:val="18"/>
                <w:szCs w:val="18"/>
              </w:rPr>
              <w:t>FTE Staff Years</w:t>
            </w:r>
          </w:p>
        </w:tc>
        <w:tc>
          <w:tcPr>
            <w:tcW w:w="1620" w:type="dxa"/>
            <w:vAlign w:val="center"/>
          </w:tcPr>
          <w:p w14:paraId="093CA308"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sz w:val="20"/>
              </w:rPr>
            </w:pPr>
            <w:r w:rsidRPr="00366F6F">
              <w:rPr>
                <w:sz w:val="20"/>
              </w:rPr>
              <w:t xml:space="preserve"> </w:t>
            </w:r>
          </w:p>
        </w:tc>
        <w:tc>
          <w:tcPr>
            <w:tcW w:w="1620" w:type="dxa"/>
            <w:vAlign w:val="center"/>
          </w:tcPr>
          <w:p w14:paraId="76471C1B"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sz w:val="20"/>
              </w:rPr>
            </w:pPr>
            <w:r w:rsidRPr="00366F6F">
              <w:rPr>
                <w:sz w:val="20"/>
              </w:rPr>
              <w:t xml:space="preserve"> </w:t>
            </w:r>
          </w:p>
        </w:tc>
        <w:tc>
          <w:tcPr>
            <w:tcW w:w="1620" w:type="dxa"/>
            <w:vAlign w:val="center"/>
          </w:tcPr>
          <w:p w14:paraId="210E2C79"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sz w:val="20"/>
              </w:rPr>
            </w:pPr>
            <w:r w:rsidRPr="00366F6F">
              <w:rPr>
                <w:sz w:val="20"/>
              </w:rPr>
              <w:t xml:space="preserve"> </w:t>
            </w:r>
          </w:p>
        </w:tc>
        <w:tc>
          <w:tcPr>
            <w:tcW w:w="1800" w:type="dxa"/>
            <w:vAlign w:val="center"/>
          </w:tcPr>
          <w:p w14:paraId="37CCF0C1"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sz w:val="20"/>
              </w:rPr>
            </w:pPr>
            <w:r w:rsidRPr="00366F6F">
              <w:rPr>
                <w:sz w:val="20"/>
              </w:rPr>
              <w:t xml:space="preserve"> </w:t>
            </w:r>
          </w:p>
        </w:tc>
        <w:tc>
          <w:tcPr>
            <w:tcW w:w="1728" w:type="dxa"/>
            <w:vAlign w:val="center"/>
          </w:tcPr>
          <w:p w14:paraId="4C3CEAF0"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sz w:val="20"/>
              </w:rPr>
            </w:pPr>
            <w:r w:rsidRPr="00366F6F">
              <w:rPr>
                <w:sz w:val="20"/>
              </w:rPr>
              <w:t xml:space="preserve"> </w:t>
            </w:r>
          </w:p>
        </w:tc>
      </w:tr>
      <w:tr w:rsidR="00417139" w14:paraId="60635E98" w14:textId="77777777" w:rsidTr="00366F6F">
        <w:tc>
          <w:tcPr>
            <w:tcW w:w="2628" w:type="dxa"/>
            <w:shd w:val="clear" w:color="auto" w:fill="C0C0C0"/>
          </w:tcPr>
          <w:p w14:paraId="25E3FF87"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b/>
                <w:sz w:val="20"/>
              </w:rPr>
            </w:pPr>
            <w:r w:rsidRPr="00366F6F">
              <w:rPr>
                <w:b/>
                <w:sz w:val="20"/>
              </w:rPr>
              <w:t>Fund</w:t>
            </w:r>
          </w:p>
        </w:tc>
        <w:tc>
          <w:tcPr>
            <w:tcW w:w="1620" w:type="dxa"/>
            <w:shd w:val="clear" w:color="auto" w:fill="C0C0C0"/>
          </w:tcPr>
          <w:p w14:paraId="36CE9B8F"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sz w:val="20"/>
              </w:rPr>
            </w:pPr>
          </w:p>
        </w:tc>
        <w:tc>
          <w:tcPr>
            <w:tcW w:w="1620" w:type="dxa"/>
            <w:shd w:val="clear" w:color="auto" w:fill="C0C0C0"/>
          </w:tcPr>
          <w:p w14:paraId="2F329BA9"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sz w:val="20"/>
              </w:rPr>
            </w:pPr>
          </w:p>
        </w:tc>
        <w:tc>
          <w:tcPr>
            <w:tcW w:w="1620" w:type="dxa"/>
            <w:shd w:val="clear" w:color="auto" w:fill="C0C0C0"/>
          </w:tcPr>
          <w:p w14:paraId="438A6CA6"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sz w:val="20"/>
              </w:rPr>
            </w:pPr>
          </w:p>
        </w:tc>
        <w:tc>
          <w:tcPr>
            <w:tcW w:w="1800" w:type="dxa"/>
            <w:shd w:val="clear" w:color="auto" w:fill="C0C0C0"/>
          </w:tcPr>
          <w:p w14:paraId="3076F65F"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sz w:val="20"/>
              </w:rPr>
            </w:pPr>
          </w:p>
        </w:tc>
        <w:tc>
          <w:tcPr>
            <w:tcW w:w="1728" w:type="dxa"/>
            <w:shd w:val="clear" w:color="auto" w:fill="C0C0C0"/>
          </w:tcPr>
          <w:p w14:paraId="5ED65AB9"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sz w:val="20"/>
              </w:rPr>
            </w:pPr>
          </w:p>
        </w:tc>
      </w:tr>
      <w:tr w:rsidR="00417139" w14:paraId="5591325F" w14:textId="77777777" w:rsidTr="00366F6F">
        <w:tc>
          <w:tcPr>
            <w:tcW w:w="2628" w:type="dxa"/>
            <w:vAlign w:val="center"/>
          </w:tcPr>
          <w:p w14:paraId="5F30E2EE"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outlineLvl w:val="0"/>
              <w:rPr>
                <w:b/>
                <w:sz w:val="18"/>
                <w:szCs w:val="18"/>
              </w:rPr>
            </w:pPr>
            <w:bookmarkStart w:id="7" w:name="EstimatedExpendituresFunds"/>
            <w:bookmarkEnd w:id="7"/>
          </w:p>
        </w:tc>
        <w:tc>
          <w:tcPr>
            <w:tcW w:w="1620" w:type="dxa"/>
            <w:tcBorders>
              <w:bottom w:val="double" w:sz="4" w:space="0" w:color="auto"/>
            </w:tcBorders>
            <w:vAlign w:val="center"/>
          </w:tcPr>
          <w:p w14:paraId="717EAC02"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b/>
                <w:sz w:val="20"/>
              </w:rPr>
            </w:pPr>
          </w:p>
        </w:tc>
        <w:tc>
          <w:tcPr>
            <w:tcW w:w="1620" w:type="dxa"/>
            <w:tcBorders>
              <w:bottom w:val="double" w:sz="4" w:space="0" w:color="auto"/>
            </w:tcBorders>
            <w:vAlign w:val="center"/>
          </w:tcPr>
          <w:p w14:paraId="2399C9FB"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b/>
                <w:sz w:val="20"/>
              </w:rPr>
            </w:pPr>
          </w:p>
        </w:tc>
        <w:tc>
          <w:tcPr>
            <w:tcW w:w="1620" w:type="dxa"/>
            <w:tcBorders>
              <w:bottom w:val="double" w:sz="4" w:space="0" w:color="auto"/>
            </w:tcBorders>
            <w:vAlign w:val="center"/>
          </w:tcPr>
          <w:p w14:paraId="5DE66265"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b/>
                <w:sz w:val="20"/>
              </w:rPr>
            </w:pPr>
          </w:p>
        </w:tc>
        <w:tc>
          <w:tcPr>
            <w:tcW w:w="1800" w:type="dxa"/>
            <w:tcBorders>
              <w:bottom w:val="double" w:sz="4" w:space="0" w:color="auto"/>
            </w:tcBorders>
            <w:vAlign w:val="center"/>
          </w:tcPr>
          <w:p w14:paraId="6A59B014"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b/>
                <w:sz w:val="20"/>
              </w:rPr>
            </w:pPr>
          </w:p>
        </w:tc>
        <w:tc>
          <w:tcPr>
            <w:tcW w:w="1728" w:type="dxa"/>
            <w:tcBorders>
              <w:bottom w:val="double" w:sz="4" w:space="0" w:color="auto"/>
            </w:tcBorders>
            <w:vAlign w:val="center"/>
          </w:tcPr>
          <w:p w14:paraId="0DC4E4FB" w14:textId="77777777" w:rsidR="00417139" w:rsidRPr="00366F6F" w:rsidRDefault="00417139" w:rsidP="00940737">
            <w:pPr>
              <w:tabs>
                <w:tab w:val="left" w:pos="1580"/>
                <w:tab w:val="left" w:pos="2580"/>
                <w:tab w:val="left" w:pos="3580"/>
                <w:tab w:val="left" w:pos="4580"/>
                <w:tab w:val="left" w:pos="5580"/>
                <w:tab w:val="left" w:pos="6580"/>
                <w:tab w:val="left" w:pos="7580"/>
                <w:tab w:val="left" w:pos="8580"/>
                <w:tab w:val="left" w:pos="9580"/>
              </w:tabs>
              <w:jc w:val="right"/>
              <w:outlineLvl w:val="0"/>
              <w:rPr>
                <w:b/>
                <w:sz w:val="20"/>
              </w:rPr>
            </w:pPr>
          </w:p>
        </w:tc>
      </w:tr>
      <w:tr w:rsidR="00417139" w14:paraId="36DCF333" w14:textId="77777777" w:rsidTr="00366F6F">
        <w:tc>
          <w:tcPr>
            <w:tcW w:w="2628" w:type="dxa"/>
            <w:tcBorders>
              <w:bottom w:val="single" w:sz="12" w:space="0" w:color="auto"/>
            </w:tcBorders>
          </w:tcPr>
          <w:p w14:paraId="3E464166" w14:textId="77777777" w:rsidR="00417139" w:rsidRPr="00366F6F" w:rsidRDefault="00417139" w:rsidP="00366F6F">
            <w:pPr>
              <w:tabs>
                <w:tab w:val="left" w:pos="1580"/>
                <w:tab w:val="left" w:pos="2580"/>
                <w:tab w:val="left" w:pos="3580"/>
                <w:tab w:val="left" w:pos="4580"/>
                <w:tab w:val="left" w:pos="5580"/>
                <w:tab w:val="left" w:pos="6580"/>
                <w:tab w:val="left" w:pos="7580"/>
                <w:tab w:val="left" w:pos="8580"/>
                <w:tab w:val="left" w:pos="9580"/>
              </w:tabs>
              <w:jc w:val="right"/>
              <w:outlineLvl w:val="0"/>
              <w:rPr>
                <w:sz w:val="20"/>
              </w:rPr>
            </w:pPr>
            <w:bookmarkStart w:id="8" w:name="EstimatedExpendituresTotals"/>
            <w:bookmarkEnd w:id="8"/>
            <w:r w:rsidRPr="00366F6F">
              <w:rPr>
                <w:sz w:val="20"/>
              </w:rPr>
              <w:t>Total</w:t>
            </w:r>
          </w:p>
        </w:tc>
        <w:tc>
          <w:tcPr>
            <w:tcW w:w="1620" w:type="dxa"/>
            <w:tcBorders>
              <w:top w:val="double" w:sz="4" w:space="0" w:color="auto"/>
              <w:bottom w:val="single" w:sz="12" w:space="0" w:color="auto"/>
            </w:tcBorders>
            <w:vAlign w:val="center"/>
          </w:tcPr>
          <w:p w14:paraId="2847CC8F" w14:textId="77777777" w:rsidR="002A6A80" w:rsidRDefault="002A6A80">
            <w:pPr>
              <w:jc w:val="right"/>
            </w:pPr>
          </w:p>
        </w:tc>
        <w:tc>
          <w:tcPr>
            <w:tcW w:w="1620" w:type="dxa"/>
            <w:tcBorders>
              <w:top w:val="double" w:sz="4" w:space="0" w:color="auto"/>
              <w:bottom w:val="single" w:sz="12" w:space="0" w:color="auto"/>
            </w:tcBorders>
            <w:vAlign w:val="center"/>
          </w:tcPr>
          <w:p w14:paraId="657F5001" w14:textId="77777777" w:rsidR="002A6A80" w:rsidRDefault="002A6A80">
            <w:pPr>
              <w:jc w:val="right"/>
            </w:pPr>
          </w:p>
        </w:tc>
        <w:tc>
          <w:tcPr>
            <w:tcW w:w="1620" w:type="dxa"/>
            <w:tcBorders>
              <w:top w:val="double" w:sz="4" w:space="0" w:color="auto"/>
              <w:bottom w:val="single" w:sz="12" w:space="0" w:color="auto"/>
            </w:tcBorders>
            <w:vAlign w:val="center"/>
          </w:tcPr>
          <w:p w14:paraId="602D3032" w14:textId="77777777" w:rsidR="002A6A80" w:rsidRDefault="002A6A80">
            <w:pPr>
              <w:jc w:val="right"/>
            </w:pPr>
          </w:p>
        </w:tc>
        <w:tc>
          <w:tcPr>
            <w:tcW w:w="1800" w:type="dxa"/>
            <w:tcBorders>
              <w:top w:val="double" w:sz="4" w:space="0" w:color="auto"/>
              <w:bottom w:val="single" w:sz="12" w:space="0" w:color="auto"/>
            </w:tcBorders>
            <w:vAlign w:val="center"/>
          </w:tcPr>
          <w:p w14:paraId="409ED557" w14:textId="77777777" w:rsidR="002A6A80" w:rsidRDefault="002A6A80">
            <w:pPr>
              <w:jc w:val="right"/>
            </w:pPr>
          </w:p>
        </w:tc>
        <w:tc>
          <w:tcPr>
            <w:tcW w:w="1728" w:type="dxa"/>
            <w:tcBorders>
              <w:top w:val="double" w:sz="4" w:space="0" w:color="auto"/>
              <w:bottom w:val="single" w:sz="12" w:space="0" w:color="auto"/>
            </w:tcBorders>
            <w:vAlign w:val="center"/>
          </w:tcPr>
          <w:p w14:paraId="286B4904" w14:textId="77777777" w:rsidR="002A6A80" w:rsidRDefault="002A6A80">
            <w:pPr>
              <w:jc w:val="right"/>
            </w:pPr>
          </w:p>
        </w:tc>
      </w:tr>
    </w:tbl>
    <w:p w14:paraId="556AAFB6" w14:textId="77777777" w:rsidR="00417139" w:rsidRPr="00711A3B" w:rsidRDefault="00417139" w:rsidP="00A77471"/>
    <w:p w14:paraId="78E3BE31" w14:textId="77777777" w:rsidR="00417139" w:rsidRDefault="00417139" w:rsidP="00A77471">
      <w:pPr>
        <w:pStyle w:val="Caption"/>
        <w:spacing w:before="240"/>
        <w:rPr>
          <w:i/>
        </w:rPr>
      </w:pPr>
      <w:r w:rsidRPr="00C91230">
        <w:rPr>
          <w:i/>
        </w:rPr>
        <w:t>The revenue and expenditures estimates on this page represent the most likely fiscal impact.  Factors impacting the precision of these estimates, and alternate ranges</w:t>
      </w:r>
      <w:r>
        <w:rPr>
          <w:i/>
        </w:rPr>
        <w:t xml:space="preserve"> </w:t>
      </w:r>
      <w:r w:rsidRPr="00C91230">
        <w:rPr>
          <w:i/>
        </w:rPr>
        <w:t>(if appropriate), are explained in Part II.</w:t>
      </w:r>
    </w:p>
    <w:p w14:paraId="54045F47" w14:textId="77777777" w:rsidR="00417139" w:rsidRPr="008505D1" w:rsidRDefault="00417139" w:rsidP="00A77471">
      <w:pPr>
        <w:pStyle w:val="Caption"/>
        <w:spacing w:before="240"/>
      </w:pPr>
      <w:r w:rsidRPr="008505D1">
        <w:t>Check applicable boxes and follow corresponding instructions:</w:t>
      </w:r>
    </w:p>
    <w:p w14:paraId="46C7FBD6" w14:textId="77777777" w:rsidR="00417139" w:rsidRPr="008505D1" w:rsidRDefault="00417139" w:rsidP="00A77471">
      <w:pPr>
        <w:pStyle w:val="Caption"/>
        <w:spacing w:before="0" w:after="0"/>
        <w:ind w:left="360" w:right="1728" w:hanging="360"/>
      </w:pPr>
      <w:bookmarkStart w:id="9" w:name="CheckBox1"/>
      <w:bookmarkEnd w:id="9"/>
      <w:r w:rsidRPr="008505D1">
        <w:t>[X] If fiscal impact is greater than $50,000 per fiscal year in the current biennium or in subsequent biennia, complete entire fiscal note form Parts I-V.</w:t>
      </w:r>
    </w:p>
    <w:p w14:paraId="011520CE" w14:textId="77777777" w:rsidR="00417139" w:rsidRPr="008505D1" w:rsidRDefault="00417139" w:rsidP="00A77471">
      <w:pPr>
        <w:pStyle w:val="Caption"/>
        <w:spacing w:before="0" w:after="0"/>
        <w:ind w:left="360" w:right="1728" w:hanging="360"/>
      </w:pPr>
      <w:bookmarkStart w:id="10" w:name="CheckBox2"/>
      <w:bookmarkEnd w:id="10"/>
      <w:r w:rsidRPr="008505D1">
        <w:t>[ ] If fiscal impact is less than $50,000 per fiscal year in the current biennium or in subsequent biennia, complete this page only (Part I).</w:t>
      </w:r>
    </w:p>
    <w:p w14:paraId="22982D12" w14:textId="77777777" w:rsidR="00417139" w:rsidRPr="008505D1" w:rsidRDefault="00417139" w:rsidP="00A77471">
      <w:pPr>
        <w:pStyle w:val="Caption"/>
        <w:spacing w:before="0" w:after="0"/>
        <w:ind w:left="360" w:right="1728" w:hanging="360"/>
      </w:pPr>
      <w:bookmarkStart w:id="11" w:name="CheckBox3"/>
      <w:bookmarkEnd w:id="11"/>
      <w:r w:rsidRPr="008505D1">
        <w:t>[ ] Capital budget impact, complete Part IV.</w:t>
      </w:r>
    </w:p>
    <w:p w14:paraId="4305C1CA" w14:textId="77777777" w:rsidR="00417139" w:rsidRDefault="00417139" w:rsidP="00A77471">
      <w:pPr>
        <w:pStyle w:val="Caption"/>
        <w:spacing w:before="0" w:after="0"/>
        <w:ind w:left="360" w:right="1728" w:hanging="360"/>
      </w:pPr>
      <w:bookmarkStart w:id="12" w:name="CheckBox4"/>
      <w:bookmarkEnd w:id="12"/>
      <w:r w:rsidRPr="008505D1">
        <w:t xml:space="preserve">[ ] Requires new rule making, complete Part V. </w:t>
      </w:r>
    </w:p>
    <w:p w14:paraId="4EE834D7" w14:textId="77777777" w:rsidR="00417139" w:rsidRDefault="00417139" w:rsidP="00A77471">
      <w:pPr>
        <w:pStyle w:val="Caption"/>
        <w:spacing w:before="0" w:after="0"/>
        <w:ind w:left="360" w:right="1728" w:hanging="360"/>
      </w:pPr>
    </w:p>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88"/>
        <w:gridCol w:w="3168"/>
        <w:gridCol w:w="846"/>
        <w:gridCol w:w="2160"/>
        <w:gridCol w:w="684"/>
        <w:gridCol w:w="2160"/>
      </w:tblGrid>
      <w:tr w:rsidR="00417139" w14:paraId="57150C3B" w14:textId="77777777" w:rsidTr="00366F6F">
        <w:tc>
          <w:tcPr>
            <w:tcW w:w="2088" w:type="dxa"/>
            <w:tcBorders>
              <w:top w:val="single" w:sz="8" w:space="0" w:color="auto"/>
              <w:bottom w:val="single" w:sz="6" w:space="0" w:color="auto"/>
            </w:tcBorders>
          </w:tcPr>
          <w:p w14:paraId="3D400528" w14:textId="77777777" w:rsidR="00417139" w:rsidRDefault="00417139" w:rsidP="00366F6F">
            <w:pPr>
              <w:pStyle w:val="Caption"/>
              <w:spacing w:before="0" w:after="0"/>
            </w:pPr>
            <w:r>
              <w:t>Legislative Contact:</w:t>
            </w:r>
          </w:p>
        </w:tc>
        <w:tc>
          <w:tcPr>
            <w:tcW w:w="3168" w:type="dxa"/>
            <w:tcBorders>
              <w:top w:val="single" w:sz="8" w:space="0" w:color="auto"/>
              <w:bottom w:val="single" w:sz="6" w:space="0" w:color="auto"/>
              <w:right w:val="single" w:sz="6" w:space="0" w:color="auto"/>
            </w:tcBorders>
          </w:tcPr>
          <w:p w14:paraId="5C129C55" w14:textId="77777777" w:rsidR="00417139" w:rsidRDefault="00417139" w:rsidP="00366F6F">
            <w:pPr>
              <w:pStyle w:val="Caption"/>
              <w:spacing w:before="0" w:after="0"/>
            </w:pPr>
            <w:bookmarkStart w:id="13" w:name="LegContact"/>
            <w:bookmarkEnd w:id="13"/>
            <w:r>
              <w:t>JEFF MITCHELL</w:t>
            </w:r>
          </w:p>
        </w:tc>
        <w:tc>
          <w:tcPr>
            <w:tcW w:w="846" w:type="dxa"/>
            <w:tcBorders>
              <w:top w:val="single" w:sz="8" w:space="0" w:color="auto"/>
              <w:left w:val="single" w:sz="6" w:space="0" w:color="auto"/>
              <w:bottom w:val="single" w:sz="6" w:space="0" w:color="auto"/>
            </w:tcBorders>
          </w:tcPr>
          <w:p w14:paraId="510449AF" w14:textId="77777777" w:rsidR="00417139" w:rsidRDefault="00417139" w:rsidP="00366F6F">
            <w:pPr>
              <w:pStyle w:val="Caption"/>
              <w:spacing w:before="0" w:after="0"/>
            </w:pPr>
            <w:r>
              <w:t>Phone:</w:t>
            </w:r>
          </w:p>
        </w:tc>
        <w:tc>
          <w:tcPr>
            <w:tcW w:w="2160" w:type="dxa"/>
            <w:tcBorders>
              <w:top w:val="single" w:sz="8" w:space="0" w:color="auto"/>
              <w:bottom w:val="single" w:sz="6" w:space="0" w:color="auto"/>
              <w:right w:val="single" w:sz="6" w:space="0" w:color="auto"/>
            </w:tcBorders>
          </w:tcPr>
          <w:p w14:paraId="2C8BB27D" w14:textId="77777777" w:rsidR="00417139" w:rsidRDefault="00417139" w:rsidP="00366F6F">
            <w:pPr>
              <w:pStyle w:val="Caption"/>
              <w:spacing w:before="0" w:after="0"/>
            </w:pPr>
            <w:bookmarkStart w:id="14" w:name="LegContactPhone"/>
            <w:bookmarkEnd w:id="14"/>
            <w:r>
              <w:t xml:space="preserve">360-786-7139  </w:t>
            </w:r>
          </w:p>
        </w:tc>
        <w:tc>
          <w:tcPr>
            <w:tcW w:w="684" w:type="dxa"/>
            <w:tcBorders>
              <w:top w:val="single" w:sz="8" w:space="0" w:color="auto"/>
              <w:left w:val="single" w:sz="6" w:space="0" w:color="auto"/>
              <w:bottom w:val="single" w:sz="8" w:space="0" w:color="auto"/>
            </w:tcBorders>
          </w:tcPr>
          <w:p w14:paraId="064B3F2E" w14:textId="77777777" w:rsidR="00417139" w:rsidRDefault="00417139" w:rsidP="00366F6F">
            <w:pPr>
              <w:pStyle w:val="Caption"/>
              <w:spacing w:before="0" w:after="0"/>
            </w:pPr>
            <w:r>
              <w:t>Date:</w:t>
            </w:r>
          </w:p>
        </w:tc>
        <w:tc>
          <w:tcPr>
            <w:tcW w:w="2160" w:type="dxa"/>
            <w:tcBorders>
              <w:top w:val="single" w:sz="8" w:space="0" w:color="auto"/>
              <w:bottom w:val="single" w:sz="8" w:space="0" w:color="auto"/>
            </w:tcBorders>
          </w:tcPr>
          <w:p w14:paraId="0FC36C0E" w14:textId="77777777" w:rsidR="00417139" w:rsidRDefault="00417139" w:rsidP="00366F6F">
            <w:pPr>
              <w:pStyle w:val="Caption"/>
              <w:spacing w:before="0" w:after="0"/>
            </w:pPr>
            <w:bookmarkStart w:id="15" w:name="LegContactDate"/>
            <w:bookmarkEnd w:id="15"/>
            <w:r>
              <w:t>4/11/2023</w:t>
            </w:r>
          </w:p>
        </w:tc>
      </w:tr>
      <w:tr w:rsidR="00417139" w14:paraId="324E6A74" w14:textId="77777777" w:rsidTr="00366F6F">
        <w:tc>
          <w:tcPr>
            <w:tcW w:w="2088" w:type="dxa"/>
            <w:tcBorders>
              <w:top w:val="single" w:sz="6" w:space="0" w:color="auto"/>
              <w:bottom w:val="single" w:sz="8" w:space="0" w:color="auto"/>
            </w:tcBorders>
          </w:tcPr>
          <w:p w14:paraId="5D8327A5" w14:textId="77777777" w:rsidR="00417139" w:rsidRDefault="00417139" w:rsidP="00366F6F">
            <w:pPr>
              <w:pStyle w:val="Caption"/>
              <w:spacing w:before="0" w:after="0"/>
            </w:pPr>
            <w:r>
              <w:t>Agency Preparation:</w:t>
            </w:r>
          </w:p>
        </w:tc>
        <w:tc>
          <w:tcPr>
            <w:tcW w:w="3168" w:type="dxa"/>
            <w:tcBorders>
              <w:top w:val="single" w:sz="6" w:space="0" w:color="auto"/>
              <w:bottom w:val="single" w:sz="8" w:space="0" w:color="auto"/>
              <w:right w:val="single" w:sz="8" w:space="0" w:color="auto"/>
            </w:tcBorders>
          </w:tcPr>
          <w:p w14:paraId="0B94DA95" w14:textId="77777777" w:rsidR="00417139" w:rsidRDefault="00417139" w:rsidP="00366F6F">
            <w:pPr>
              <w:pStyle w:val="Caption"/>
              <w:spacing w:before="0" w:after="0"/>
            </w:pPr>
            <w:bookmarkStart w:id="16" w:name="Preparer"/>
            <w:bookmarkEnd w:id="16"/>
            <w:r>
              <w:t>MARK STUDER</w:t>
            </w:r>
          </w:p>
        </w:tc>
        <w:tc>
          <w:tcPr>
            <w:tcW w:w="846" w:type="dxa"/>
            <w:tcBorders>
              <w:top w:val="single" w:sz="6" w:space="0" w:color="auto"/>
              <w:left w:val="single" w:sz="8" w:space="0" w:color="auto"/>
              <w:bottom w:val="single" w:sz="6" w:space="0" w:color="auto"/>
            </w:tcBorders>
          </w:tcPr>
          <w:p w14:paraId="68924059" w14:textId="77777777" w:rsidR="00417139" w:rsidRDefault="00417139" w:rsidP="00366F6F">
            <w:pPr>
              <w:pStyle w:val="Caption"/>
              <w:spacing w:before="0" w:after="0"/>
            </w:pPr>
            <w:r>
              <w:t>Phone:</w:t>
            </w:r>
          </w:p>
        </w:tc>
        <w:tc>
          <w:tcPr>
            <w:tcW w:w="2160" w:type="dxa"/>
            <w:tcBorders>
              <w:top w:val="single" w:sz="6" w:space="0" w:color="auto"/>
              <w:bottom w:val="single" w:sz="6" w:space="0" w:color="auto"/>
              <w:right w:val="single" w:sz="6" w:space="0" w:color="auto"/>
            </w:tcBorders>
          </w:tcPr>
          <w:p w14:paraId="4DBB7557" w14:textId="77777777" w:rsidR="00417139" w:rsidRDefault="00417139" w:rsidP="00366F6F">
            <w:pPr>
              <w:pStyle w:val="Caption"/>
              <w:spacing w:before="0" w:after="0"/>
            </w:pPr>
            <w:bookmarkStart w:id="17" w:name="PreparerPhone"/>
            <w:bookmarkEnd w:id="17"/>
            <w:r>
              <w:t>(360) 534-1507</w:t>
            </w:r>
          </w:p>
        </w:tc>
        <w:tc>
          <w:tcPr>
            <w:tcW w:w="684" w:type="dxa"/>
            <w:tcBorders>
              <w:top w:val="single" w:sz="8" w:space="0" w:color="auto"/>
              <w:left w:val="single" w:sz="6" w:space="0" w:color="auto"/>
              <w:bottom w:val="single" w:sz="8" w:space="0" w:color="auto"/>
            </w:tcBorders>
          </w:tcPr>
          <w:p w14:paraId="2B9170BC" w14:textId="77777777" w:rsidR="00417139" w:rsidRDefault="00417139" w:rsidP="00366F6F">
            <w:pPr>
              <w:pStyle w:val="Caption"/>
              <w:spacing w:before="0" w:after="0"/>
            </w:pPr>
            <w:r>
              <w:t>Date:</w:t>
            </w:r>
          </w:p>
        </w:tc>
        <w:tc>
          <w:tcPr>
            <w:tcW w:w="2160" w:type="dxa"/>
            <w:tcBorders>
              <w:top w:val="single" w:sz="8" w:space="0" w:color="auto"/>
              <w:bottom w:val="single" w:sz="8" w:space="0" w:color="auto"/>
            </w:tcBorders>
          </w:tcPr>
          <w:p w14:paraId="059EA5E1" w14:textId="77777777" w:rsidR="00417139" w:rsidRDefault="00417139" w:rsidP="00366F6F">
            <w:pPr>
              <w:pStyle w:val="Caption"/>
              <w:spacing w:before="0" w:after="0"/>
            </w:pPr>
            <w:bookmarkStart w:id="18" w:name="PreparerDate"/>
            <w:bookmarkEnd w:id="18"/>
            <w:r>
              <w:t>4/11/2023</w:t>
            </w:r>
          </w:p>
        </w:tc>
      </w:tr>
      <w:tr w:rsidR="00417139" w14:paraId="48F50E4F" w14:textId="77777777" w:rsidTr="00366F6F">
        <w:tc>
          <w:tcPr>
            <w:tcW w:w="2088" w:type="dxa"/>
            <w:tcBorders>
              <w:top w:val="single" w:sz="8" w:space="0" w:color="auto"/>
              <w:bottom w:val="single" w:sz="8" w:space="0" w:color="auto"/>
            </w:tcBorders>
          </w:tcPr>
          <w:p w14:paraId="0556A316" w14:textId="77777777" w:rsidR="00417139" w:rsidRDefault="00417139" w:rsidP="00366F6F">
            <w:pPr>
              <w:pStyle w:val="Caption"/>
              <w:spacing w:before="0" w:after="0"/>
            </w:pPr>
            <w:r>
              <w:t>Agency Approval</w:t>
            </w:r>
          </w:p>
        </w:tc>
        <w:tc>
          <w:tcPr>
            <w:tcW w:w="3168" w:type="dxa"/>
            <w:tcBorders>
              <w:top w:val="single" w:sz="8" w:space="0" w:color="auto"/>
              <w:bottom w:val="single" w:sz="8" w:space="0" w:color="auto"/>
              <w:right w:val="single" w:sz="8" w:space="0" w:color="auto"/>
            </w:tcBorders>
          </w:tcPr>
          <w:p w14:paraId="67BB2648" w14:textId="77777777" w:rsidR="00417139" w:rsidRDefault="00417139" w:rsidP="00366F6F">
            <w:pPr>
              <w:pStyle w:val="Caption"/>
              <w:spacing w:before="0" w:after="0"/>
            </w:pPr>
            <w:bookmarkStart w:id="19" w:name="Approver"/>
            <w:bookmarkEnd w:id="19"/>
          </w:p>
        </w:tc>
        <w:tc>
          <w:tcPr>
            <w:tcW w:w="846" w:type="dxa"/>
            <w:tcBorders>
              <w:top w:val="single" w:sz="6" w:space="0" w:color="auto"/>
              <w:left w:val="single" w:sz="8" w:space="0" w:color="auto"/>
              <w:bottom w:val="single" w:sz="6" w:space="0" w:color="auto"/>
            </w:tcBorders>
          </w:tcPr>
          <w:p w14:paraId="11B88734" w14:textId="77777777" w:rsidR="00417139" w:rsidRDefault="00417139" w:rsidP="00366F6F">
            <w:pPr>
              <w:pStyle w:val="Caption"/>
              <w:spacing w:before="0" w:after="0"/>
            </w:pPr>
            <w:r>
              <w:t>Phone:</w:t>
            </w:r>
          </w:p>
        </w:tc>
        <w:tc>
          <w:tcPr>
            <w:tcW w:w="2160" w:type="dxa"/>
            <w:tcBorders>
              <w:top w:val="single" w:sz="6" w:space="0" w:color="auto"/>
              <w:bottom w:val="single" w:sz="6" w:space="0" w:color="auto"/>
              <w:right w:val="single" w:sz="6" w:space="0" w:color="auto"/>
            </w:tcBorders>
          </w:tcPr>
          <w:p w14:paraId="6F2790B5" w14:textId="77777777" w:rsidR="00417139" w:rsidRDefault="00417139" w:rsidP="00366F6F">
            <w:pPr>
              <w:pStyle w:val="Caption"/>
              <w:spacing w:before="0" w:after="0"/>
            </w:pPr>
            <w:bookmarkStart w:id="20" w:name="ApproverPhone"/>
            <w:bookmarkEnd w:id="20"/>
          </w:p>
        </w:tc>
        <w:tc>
          <w:tcPr>
            <w:tcW w:w="684" w:type="dxa"/>
            <w:tcBorders>
              <w:top w:val="single" w:sz="8" w:space="0" w:color="auto"/>
              <w:left w:val="single" w:sz="6" w:space="0" w:color="auto"/>
              <w:bottom w:val="single" w:sz="8" w:space="0" w:color="auto"/>
            </w:tcBorders>
          </w:tcPr>
          <w:p w14:paraId="5BE76025" w14:textId="77777777" w:rsidR="00417139" w:rsidRDefault="00417139" w:rsidP="00366F6F">
            <w:pPr>
              <w:pStyle w:val="Caption"/>
              <w:spacing w:before="0" w:after="0"/>
            </w:pPr>
            <w:r>
              <w:t>Date:</w:t>
            </w:r>
          </w:p>
        </w:tc>
        <w:tc>
          <w:tcPr>
            <w:tcW w:w="2160" w:type="dxa"/>
            <w:tcBorders>
              <w:top w:val="single" w:sz="8" w:space="0" w:color="auto"/>
              <w:bottom w:val="single" w:sz="8" w:space="0" w:color="auto"/>
            </w:tcBorders>
          </w:tcPr>
          <w:p w14:paraId="566056F6" w14:textId="77777777" w:rsidR="00417139" w:rsidRDefault="00417139" w:rsidP="00366F6F">
            <w:pPr>
              <w:pStyle w:val="Caption"/>
              <w:spacing w:before="0" w:after="0"/>
            </w:pPr>
            <w:bookmarkStart w:id="21" w:name="ApproverDate"/>
            <w:bookmarkEnd w:id="21"/>
          </w:p>
        </w:tc>
      </w:tr>
      <w:tr w:rsidR="00417139" w14:paraId="3EB6EEFE" w14:textId="77777777" w:rsidTr="00366F6F">
        <w:tc>
          <w:tcPr>
            <w:tcW w:w="2088" w:type="dxa"/>
            <w:tcBorders>
              <w:top w:val="single" w:sz="8" w:space="0" w:color="auto"/>
              <w:bottom w:val="single" w:sz="8" w:space="0" w:color="auto"/>
            </w:tcBorders>
          </w:tcPr>
          <w:p w14:paraId="7C32B899" w14:textId="77777777" w:rsidR="00417139" w:rsidRDefault="00417139" w:rsidP="00366F6F">
            <w:pPr>
              <w:pStyle w:val="Caption"/>
              <w:spacing w:before="0" w:after="0"/>
            </w:pPr>
            <w:r>
              <w:t>OFM Review:</w:t>
            </w:r>
          </w:p>
        </w:tc>
        <w:tc>
          <w:tcPr>
            <w:tcW w:w="3168" w:type="dxa"/>
            <w:tcBorders>
              <w:top w:val="single" w:sz="8" w:space="0" w:color="auto"/>
              <w:bottom w:val="single" w:sz="8" w:space="0" w:color="auto"/>
              <w:right w:val="single" w:sz="8" w:space="0" w:color="auto"/>
            </w:tcBorders>
          </w:tcPr>
          <w:p w14:paraId="40E0C5DC" w14:textId="77777777" w:rsidR="00417139" w:rsidRDefault="00417139" w:rsidP="00366F6F">
            <w:pPr>
              <w:pStyle w:val="Caption"/>
              <w:spacing w:before="0" w:after="0"/>
            </w:pPr>
          </w:p>
        </w:tc>
        <w:tc>
          <w:tcPr>
            <w:tcW w:w="846" w:type="dxa"/>
            <w:tcBorders>
              <w:top w:val="single" w:sz="6" w:space="0" w:color="auto"/>
              <w:left w:val="single" w:sz="8" w:space="0" w:color="auto"/>
              <w:bottom w:val="single" w:sz="8" w:space="0" w:color="auto"/>
            </w:tcBorders>
          </w:tcPr>
          <w:p w14:paraId="0A136191" w14:textId="77777777" w:rsidR="00417139" w:rsidRDefault="00417139" w:rsidP="00366F6F">
            <w:pPr>
              <w:pStyle w:val="Caption"/>
              <w:spacing w:before="0" w:after="0"/>
            </w:pPr>
            <w:r>
              <w:t>Phone:</w:t>
            </w:r>
          </w:p>
        </w:tc>
        <w:tc>
          <w:tcPr>
            <w:tcW w:w="2160" w:type="dxa"/>
            <w:tcBorders>
              <w:top w:val="single" w:sz="6" w:space="0" w:color="auto"/>
              <w:bottom w:val="single" w:sz="8" w:space="0" w:color="auto"/>
              <w:right w:val="single" w:sz="6" w:space="0" w:color="auto"/>
            </w:tcBorders>
          </w:tcPr>
          <w:p w14:paraId="2492A695" w14:textId="77777777" w:rsidR="00417139" w:rsidRDefault="00417139" w:rsidP="00366F6F">
            <w:pPr>
              <w:pStyle w:val="Caption"/>
              <w:spacing w:before="0" w:after="0"/>
            </w:pPr>
          </w:p>
        </w:tc>
        <w:tc>
          <w:tcPr>
            <w:tcW w:w="684" w:type="dxa"/>
            <w:tcBorders>
              <w:top w:val="single" w:sz="8" w:space="0" w:color="auto"/>
              <w:left w:val="single" w:sz="6" w:space="0" w:color="auto"/>
              <w:bottom w:val="single" w:sz="8" w:space="0" w:color="auto"/>
            </w:tcBorders>
          </w:tcPr>
          <w:p w14:paraId="290D70BB" w14:textId="77777777" w:rsidR="00417139" w:rsidRDefault="00417139" w:rsidP="00366F6F">
            <w:pPr>
              <w:pStyle w:val="Caption"/>
              <w:spacing w:before="0" w:after="0"/>
            </w:pPr>
            <w:r>
              <w:t>Date:</w:t>
            </w:r>
          </w:p>
        </w:tc>
        <w:tc>
          <w:tcPr>
            <w:tcW w:w="2160" w:type="dxa"/>
            <w:tcBorders>
              <w:top w:val="single" w:sz="8" w:space="0" w:color="auto"/>
              <w:bottom w:val="single" w:sz="8" w:space="0" w:color="auto"/>
            </w:tcBorders>
          </w:tcPr>
          <w:p w14:paraId="03AA7E2B" w14:textId="77777777" w:rsidR="00417139" w:rsidRDefault="00417139" w:rsidP="00366F6F">
            <w:pPr>
              <w:pStyle w:val="Caption"/>
              <w:spacing w:before="0" w:after="0"/>
            </w:pPr>
          </w:p>
        </w:tc>
      </w:tr>
    </w:tbl>
    <w:p w14:paraId="0AFB6908" w14:textId="77777777" w:rsidR="00417139" w:rsidRDefault="00417139" w:rsidP="00A77471">
      <w:pPr>
        <w:pStyle w:val="Caption"/>
        <w:spacing w:before="0" w:after="0"/>
        <w:rPr>
          <w:sz w:val="24"/>
        </w:rPr>
      </w:pPr>
      <w:r w:rsidRPr="008505D1">
        <w:br w:type="page"/>
      </w:r>
      <w:r>
        <w:rPr>
          <w:sz w:val="24"/>
        </w:rPr>
        <w:t>Part II: Narrative Explanation</w:t>
      </w:r>
    </w:p>
    <w:p w14:paraId="69F91AD1" w14:textId="77777777" w:rsidR="00417139" w:rsidRDefault="00417139" w:rsidP="00A77471">
      <w:pPr>
        <w:rPr>
          <w:sz w:val="24"/>
        </w:rPr>
      </w:pPr>
    </w:p>
    <w:p w14:paraId="1486A5A3" w14:textId="77777777" w:rsidR="00417139" w:rsidRDefault="00417139" w:rsidP="000D4FB3">
      <w:pPr>
        <w:outlineLvl w:val="0"/>
        <w:rPr>
          <w:b/>
        </w:rPr>
      </w:pPr>
      <w:r>
        <w:rPr>
          <w:b/>
        </w:rPr>
        <w:t>II. A - Brief Description Of What The Measure Does That Has Fiscal Impact</w:t>
      </w:r>
    </w:p>
    <w:p w14:paraId="0C8D0C4D" w14:textId="77777777" w:rsidR="00592BDF" w:rsidRPr="000D4FB3" w:rsidRDefault="00592BDF" w:rsidP="000D4FB3">
      <w:pPr>
        <w:outlineLvl w:val="0"/>
        <w:rPr>
          <w:b/>
        </w:rPr>
      </w:pPr>
    </w:p>
    <w:p w14:paraId="1A1D8E49" w14:textId="77777777" w:rsidR="002A6A80" w:rsidRDefault="00011695">
      <w:r>
        <w:t>CURRENT LAW:</w:t>
      </w:r>
    </w:p>
    <w:p w14:paraId="7AE855B7" w14:textId="77777777" w:rsidR="002A6A80" w:rsidRDefault="00011695">
      <w:r>
        <w:t>Current law annually limits a taxing district’s increase in its regular property tax levy or levies by the applicable “limit factor,” plus an additional amount based on the prior year’s levy rate multiplied by the increase in assessed value in the district</w:t>
      </w:r>
      <w:r>
        <w:t xml:space="preserve"> from:</w:t>
      </w:r>
    </w:p>
    <w:p w14:paraId="3E2D4D75" w14:textId="77777777" w:rsidR="002A6A80" w:rsidRDefault="00011695">
      <w:r>
        <w:t>- New construction.</w:t>
      </w:r>
    </w:p>
    <w:p w14:paraId="6B0164A2" w14:textId="77777777" w:rsidR="002A6A80" w:rsidRDefault="00011695">
      <w:r>
        <w:t>- Construction of wind turbine, solar, biomass, and geothermal facilities.</w:t>
      </w:r>
    </w:p>
    <w:p w14:paraId="2F7E809B" w14:textId="77777777" w:rsidR="002A6A80" w:rsidRDefault="00011695">
      <w:r>
        <w:t>- Improvements to property.</w:t>
      </w:r>
    </w:p>
    <w:p w14:paraId="23188790" w14:textId="77777777" w:rsidR="002A6A80" w:rsidRDefault="00011695">
      <w:r>
        <w:t xml:space="preserve">- State-assessed property. </w:t>
      </w:r>
    </w:p>
    <w:p w14:paraId="7F155D33" w14:textId="77777777" w:rsidR="002A6A80" w:rsidRDefault="00011695">
      <w:r>
        <w:t>- Real property within a local tax increment finance area designated by a local government.</w:t>
      </w:r>
    </w:p>
    <w:p w14:paraId="71A56F13" w14:textId="77777777" w:rsidR="002A6A80" w:rsidRDefault="002A6A80"/>
    <w:p w14:paraId="72A32E5A" w14:textId="77777777" w:rsidR="002A6A80" w:rsidRDefault="00011695">
      <w:r>
        <w:t>Current law defines:</w:t>
      </w:r>
    </w:p>
    <w:p w14:paraId="793615AC" w14:textId="77777777" w:rsidR="002A6A80" w:rsidRDefault="00011695">
      <w:r>
        <w:t>- “Limit factor” as:</w:t>
      </w:r>
    </w:p>
    <w:p w14:paraId="2AEA65BD" w14:textId="77777777" w:rsidR="002A6A80" w:rsidRDefault="00011695">
      <w:r>
        <w:t xml:space="preserve">    - For taxing districts with a population of less than 10,000, 101%.</w:t>
      </w:r>
    </w:p>
    <w:p w14:paraId="7D4DE00B" w14:textId="77777777" w:rsidR="002A6A80" w:rsidRDefault="00011695">
      <w:r>
        <w:t xml:space="preserve">    - For all other districts, the lesser of 101%</w:t>
      </w:r>
      <w:r>
        <w:t xml:space="preserve"> or 100% plus inflation. However, if inflation is less than 1%, then taxing districts, except the state, that adopt a substantial need resolution can have a limit factor up to 101%. </w:t>
      </w:r>
    </w:p>
    <w:p w14:paraId="2F9904C7" w14:textId="77777777" w:rsidR="002A6A80" w:rsidRDefault="00011695">
      <w:r>
        <w:t>- “Inflation” as the percentage change in the implicit price deflator (IP</w:t>
      </w:r>
      <w:r>
        <w:t>D) for personal consumption expenditures for the United States as published for the most recent 12-month period by the Bureau of Economic Analysis of the federal Department of Commerce by September 25th of the year before the taxes are payable.</w:t>
      </w:r>
    </w:p>
    <w:p w14:paraId="1C5906A9" w14:textId="77777777" w:rsidR="002A6A80" w:rsidRDefault="002A6A80"/>
    <w:p w14:paraId="1E6135FF" w14:textId="77777777" w:rsidR="002A6A80" w:rsidRDefault="00011695">
      <w:r>
        <w:t>The statut</w:t>
      </w:r>
      <w:r>
        <w:t>ory aggregate maximum levy rate for Part 1 and Part 2 state property tax school levy for the support of common schools is $3.60 per $1,000 of market value.</w:t>
      </w:r>
    </w:p>
    <w:p w14:paraId="12613EBF" w14:textId="77777777" w:rsidR="002A6A80" w:rsidRDefault="002A6A80"/>
    <w:p w14:paraId="37B0E753" w14:textId="77777777" w:rsidR="002A6A80" w:rsidRDefault="00011695">
      <w:r>
        <w:t>Qualifying senior citizens, persons retired due to disability, and disabled veterans meeting certai</w:t>
      </w:r>
      <w:r>
        <w:t>n criteria may qualify for a property tax exemption (senior exemption program) on their principal residence. All participants in the senior exemption program receive a full exemption from Part 2 of the state school levy. Depending on a participant’s income</w:t>
      </w:r>
      <w:r>
        <w:t>, the senior exemption program includes a partial reduction for Part 1 of the state school levy.</w:t>
      </w:r>
    </w:p>
    <w:p w14:paraId="18A72F00" w14:textId="77777777" w:rsidR="002A6A80" w:rsidRDefault="002A6A80"/>
    <w:p w14:paraId="60C2D04A" w14:textId="77777777" w:rsidR="002A6A80" w:rsidRDefault="00011695">
      <w:r>
        <w:t>PROPOSAL:</w:t>
      </w:r>
    </w:p>
    <w:p w14:paraId="2CBD970D" w14:textId="77777777" w:rsidR="002A6A80" w:rsidRDefault="00011695">
      <w:r>
        <w:t xml:space="preserve">This proposal increases the regular property tax levy growth limit for both state and local tax districts by revising the definition of “inflation” </w:t>
      </w:r>
      <w:r>
        <w:t>and “limit factor.”</w:t>
      </w:r>
    </w:p>
    <w:p w14:paraId="0058A458" w14:textId="77777777" w:rsidR="002A6A80" w:rsidRDefault="002A6A80"/>
    <w:p w14:paraId="63A5768B" w14:textId="77777777" w:rsidR="002A6A80" w:rsidRDefault="00011695">
      <w:r>
        <w:t>This proposal revises the definition of “inflation” for both state and local property levies to mean the annual percentage increase in the consumer price index for all urban consumers (CPI-U) in the western region for all items as prov</w:t>
      </w:r>
      <w:r>
        <w:t>ided for the most recent 12-month period by the Bureau of Labor Statistics of the United Stated Department of Labor by July 25 of the year before the year the taxes are payable.</w:t>
      </w:r>
    </w:p>
    <w:p w14:paraId="5DC1A3A3" w14:textId="77777777" w:rsidR="002A6A80" w:rsidRDefault="002A6A80"/>
    <w:p w14:paraId="68AF9714" w14:textId="77777777" w:rsidR="002A6A80" w:rsidRDefault="00011695">
      <w:r>
        <w:t xml:space="preserve">This proposal revises the definition of “limit factor” for the state and all </w:t>
      </w:r>
      <w:r>
        <w:t>local taxing districts’ regular property tax levies to mean 100% plus population change and inflation, but not to exceed 103%.</w:t>
      </w:r>
    </w:p>
    <w:p w14:paraId="3343C590" w14:textId="77777777" w:rsidR="002A6A80" w:rsidRDefault="002A6A80"/>
    <w:p w14:paraId="49FF0359" w14:textId="77777777" w:rsidR="002A6A80" w:rsidRDefault="00011695">
      <w:r>
        <w:t>This proposal defines “population change” to mean the annual percent increase in the population of a taxing district between the</w:t>
      </w:r>
      <w:r>
        <w:t xml:space="preserve"> two most recent years, as provided in the official population estimates published by the Office of Financial Management for April 1 of the year before the taxes are payable. The definition of "population change" also:</w:t>
      </w:r>
    </w:p>
    <w:p w14:paraId="57304599" w14:textId="77777777" w:rsidR="002A6A80" w:rsidRDefault="00011695">
      <w:r>
        <w:t xml:space="preserve">     - Provides that if a taxing dist</w:t>
      </w:r>
      <w:r>
        <w:t>rict’s population decreases, the population change is zero.</w:t>
      </w:r>
    </w:p>
    <w:p w14:paraId="71EAD75F" w14:textId="77777777" w:rsidR="002A6A80" w:rsidRDefault="00011695">
      <w:r>
        <w:t xml:space="preserve">     - Specifies how to calculate the population change for taxing districts located in more than one county, city, town, or any combination of counties, cities, and towns.</w:t>
      </w:r>
    </w:p>
    <w:p w14:paraId="59553AB7" w14:textId="77777777" w:rsidR="002A6A80" w:rsidRDefault="00011695">
      <w:r>
        <w:t>- Requires the Departme</w:t>
      </w:r>
      <w:r>
        <w:t>nt of Revenue to provide county assessors the limit factors by September 1 of the year prior to the levy year.</w:t>
      </w:r>
    </w:p>
    <w:p w14:paraId="35BA6B34" w14:textId="77777777" w:rsidR="002A6A80" w:rsidRDefault="00011695">
      <w:r>
        <w:t xml:space="preserve">- Requires the county assessor to determine the limit factor applicable to each taxing district in the county and notify each taxing district of </w:t>
      </w:r>
      <w:r>
        <w:t xml:space="preserve">the applicable factor by October 1, of the year prior to the levy year. </w:t>
      </w:r>
    </w:p>
    <w:p w14:paraId="4BAF72DF" w14:textId="77777777" w:rsidR="002A6A80" w:rsidRDefault="002A6A80"/>
    <w:p w14:paraId="24D6ABB5" w14:textId="77777777" w:rsidR="002A6A80" w:rsidRDefault="00011695">
      <w:r>
        <w:t>This proposal repeals the substantial need provision (RCW 84.55.0101).</w:t>
      </w:r>
    </w:p>
    <w:p w14:paraId="5A85F84C" w14:textId="77777777" w:rsidR="002A6A80" w:rsidRDefault="002A6A80"/>
    <w:p w14:paraId="609368A1" w14:textId="77777777" w:rsidR="002A6A80" w:rsidRDefault="00011695">
      <w:r>
        <w:t xml:space="preserve">This proposal reduces Part 1 of the state property tax levy by 25% for all participants in the senior exemption program. </w:t>
      </w:r>
    </w:p>
    <w:p w14:paraId="1221CD58" w14:textId="77777777" w:rsidR="002A6A80" w:rsidRDefault="002A6A80"/>
    <w:p w14:paraId="35CF6F2D" w14:textId="77777777" w:rsidR="002A6A80" w:rsidRDefault="00011695">
      <w:r>
        <w:t>EFFECTIVE DATE:</w:t>
      </w:r>
    </w:p>
    <w:p w14:paraId="71E8F2C0" w14:textId="77777777" w:rsidR="002A6A80" w:rsidRDefault="00011695">
      <w:r>
        <w:t xml:space="preserve">This proposal takes effect beginning with property taxes due for collection in calendar year 2024. </w:t>
      </w:r>
    </w:p>
    <w:p w14:paraId="10B5B50D" w14:textId="77777777" w:rsidR="00417139" w:rsidRPr="00592BDF" w:rsidRDefault="00417139" w:rsidP="00592BDF">
      <w:bookmarkStart w:id="22" w:name="Summary"/>
      <w:bookmarkEnd w:id="22"/>
      <w:r>
        <w:t xml:space="preserve"> </w:t>
      </w:r>
    </w:p>
    <w:p w14:paraId="25EF6C98" w14:textId="77777777" w:rsidR="00417139" w:rsidRDefault="00417139" w:rsidP="000D4FB3">
      <w:pPr>
        <w:outlineLvl w:val="0"/>
        <w:rPr>
          <w:b/>
        </w:rPr>
      </w:pPr>
      <w:r>
        <w:rPr>
          <w:b/>
        </w:rPr>
        <w:t>II. B - Revenue Impact</w:t>
      </w:r>
    </w:p>
    <w:p w14:paraId="6D25D7E3" w14:textId="77777777" w:rsidR="00592BDF" w:rsidRPr="000D4FB3" w:rsidRDefault="00592BDF" w:rsidP="000D4FB3">
      <w:pPr>
        <w:outlineLvl w:val="0"/>
        <w:rPr>
          <w:b/>
        </w:rPr>
      </w:pPr>
    </w:p>
    <w:p w14:paraId="5FD8030B" w14:textId="77777777" w:rsidR="002A6A80" w:rsidRDefault="00011695">
      <w:r>
        <w:t>ASSUMPTIONS:</w:t>
      </w:r>
    </w:p>
    <w:p w14:paraId="7CF9A644" w14:textId="77777777" w:rsidR="002A6A80" w:rsidRDefault="00011695">
      <w:r>
        <w:t xml:space="preserve">- The difference between the assessed value of Part 1 and the assessed value of Part 2 adequately represents the senior exemption program impact. This estimate uses 25% of this difference. </w:t>
      </w:r>
    </w:p>
    <w:p w14:paraId="106C86C7" w14:textId="77777777" w:rsidR="002A6A80" w:rsidRDefault="00011695">
      <w:r>
        <w:t>- Property taxes shift to other property own</w:t>
      </w:r>
      <w:r>
        <w:t>ers as a result of the changes to the senior exemption program.</w:t>
      </w:r>
    </w:p>
    <w:p w14:paraId="2E7B2E60" w14:textId="77777777" w:rsidR="002A6A80" w:rsidRDefault="00011695">
      <w:r>
        <w:t xml:space="preserve">- Taxing districts taking less than the current 101% limit will not utilize the increased limit factor.  </w:t>
      </w:r>
    </w:p>
    <w:p w14:paraId="46AEE78D" w14:textId="77777777" w:rsidR="002A6A80" w:rsidRDefault="00011695">
      <w:r>
        <w:t>- No prorationing occurs under the $5.90 aggregate limit due to the increase in the li</w:t>
      </w:r>
      <w:r>
        <w:t>mit factor.</w:t>
      </w:r>
    </w:p>
    <w:p w14:paraId="3EF5DB6C" w14:textId="77777777" w:rsidR="002A6A80" w:rsidRDefault="00011695">
      <w:r>
        <w:t xml:space="preserve">- No prorationing occurs under the $10 constitutional aggregate limit due to the increase in the limit factor. </w:t>
      </w:r>
    </w:p>
    <w:p w14:paraId="78EF97D8" w14:textId="77777777" w:rsidR="002A6A80" w:rsidRDefault="00011695">
      <w:r>
        <w:t>- Based on five years of state property tax collections, 52.36% of property tax collections occur in April and 47.64% occur in Octob</w:t>
      </w:r>
      <w:r>
        <w:t>er. When converting from calendar year to fiscal year, this estimate assumes revenue gains and losses follow this trend.</w:t>
      </w:r>
    </w:p>
    <w:p w14:paraId="1AA142F7" w14:textId="77777777" w:rsidR="002A6A80" w:rsidRDefault="002A6A80"/>
    <w:p w14:paraId="3792BD32" w14:textId="77777777" w:rsidR="002A6A80" w:rsidRDefault="00011695">
      <w:r>
        <w:t>DATA SOURCES:</w:t>
      </w:r>
    </w:p>
    <w:p w14:paraId="1370FB3D" w14:textId="77777777" w:rsidR="002A6A80" w:rsidRDefault="00011695">
      <w:r>
        <w:t>- Economic and Revenue Forecast Council, November 2022 forecast</w:t>
      </w:r>
    </w:p>
    <w:p w14:paraId="7062FEFE" w14:textId="77777777" w:rsidR="002A6A80" w:rsidRDefault="00011695">
      <w:r>
        <w:t>- Office of Financial Management, April 1, 2022, Population estimates</w:t>
      </w:r>
    </w:p>
    <w:p w14:paraId="20DD3A15" w14:textId="77777777" w:rsidR="002A6A80" w:rsidRDefault="00011695">
      <w:r>
        <w:t>- Office of Financial Management, State population forecast</w:t>
      </w:r>
    </w:p>
    <w:p w14:paraId="6209E901" w14:textId="77777777" w:rsidR="002A6A80" w:rsidRDefault="00011695">
      <w:r>
        <w:t>- Department of Revenue, State Property Tax Model</w:t>
      </w:r>
    </w:p>
    <w:p w14:paraId="313CC01A" w14:textId="77777777" w:rsidR="002A6A80" w:rsidRDefault="00011695">
      <w:r>
        <w:t xml:space="preserve">- Department of Revenue, State levy calculations for property taxes due for </w:t>
      </w:r>
      <w:r>
        <w:t>2023</w:t>
      </w:r>
    </w:p>
    <w:p w14:paraId="02A27F23" w14:textId="77777777" w:rsidR="002A6A80" w:rsidRDefault="00011695">
      <w:r>
        <w:t>- County assessor data</w:t>
      </w:r>
    </w:p>
    <w:p w14:paraId="2EF42574" w14:textId="77777777" w:rsidR="002A6A80" w:rsidRDefault="002A6A80"/>
    <w:p w14:paraId="674D8E69" w14:textId="77777777" w:rsidR="002A6A80" w:rsidRDefault="00011695">
      <w:r>
        <w:t>REVENUE ESTIMATES:</w:t>
      </w:r>
    </w:p>
    <w:p w14:paraId="255D36A0" w14:textId="77777777" w:rsidR="002A6A80" w:rsidRDefault="00011695">
      <w:r>
        <w:t>The Economic and Revenue Forecast Council predicts the state property tax levy remains below the $3.60 limit throughout the 2027-29 biennium. A new exemption results in a shift and no loss to the state levy.</w:t>
      </w:r>
    </w:p>
    <w:p w14:paraId="040561DC" w14:textId="77777777" w:rsidR="002A6A80" w:rsidRDefault="002A6A80"/>
    <w:p w14:paraId="5D87DE35" w14:textId="77777777" w:rsidR="002A6A80" w:rsidRDefault="00011695">
      <w:r>
        <w:t>PROPERTY TAX SHIFTS:</w:t>
      </w:r>
    </w:p>
    <w:p w14:paraId="40647451" w14:textId="77777777" w:rsidR="002A6A80" w:rsidRDefault="00011695">
      <w:r>
        <w:t>This legislation results in a state levy shift to other taxpayers of an estimated $2.7 million for fiscal year 2024 and $5.2 million in fiscal year 2025, the first full fiscal year</w:t>
      </w:r>
    </w:p>
    <w:p w14:paraId="68CF11D4" w14:textId="77777777" w:rsidR="002A6A80" w:rsidRDefault="002A6A80"/>
    <w:p w14:paraId="6AEBDA04" w14:textId="77777777" w:rsidR="002A6A80" w:rsidRDefault="00011695">
      <w:r>
        <w:t xml:space="preserve">TOTAL REVENUE IMPACT: </w:t>
      </w:r>
    </w:p>
    <w:p w14:paraId="7517A9C9" w14:textId="77777777" w:rsidR="002A6A80" w:rsidRDefault="00011695">
      <w:r>
        <w:t xml:space="preserve">      </w:t>
      </w:r>
    </w:p>
    <w:p w14:paraId="27D9783C" w14:textId="77777777" w:rsidR="002A6A80" w:rsidRDefault="00011695">
      <w:r>
        <w:t xml:space="preserve">      State Government (cash basis, $000):</w:t>
      </w:r>
      <w:r>
        <w:tab/>
      </w:r>
    </w:p>
    <w:p w14:paraId="5CE66525" w14:textId="77777777" w:rsidR="002A6A80" w:rsidRDefault="00011695">
      <w:r>
        <w:t xml:space="preserve">           FY 2024 -      $   48,000</w:t>
      </w:r>
      <w:r>
        <w:tab/>
      </w:r>
    </w:p>
    <w:p w14:paraId="0DC323FF" w14:textId="77777777" w:rsidR="002A6A80" w:rsidRDefault="00011695">
      <w:r>
        <w:t xml:space="preserve">           FY 2025 -      $ 143,000</w:t>
      </w:r>
      <w:r>
        <w:tab/>
      </w:r>
    </w:p>
    <w:p w14:paraId="1248A22A" w14:textId="77777777" w:rsidR="002A6A80" w:rsidRDefault="00011695">
      <w:r>
        <w:t xml:space="preserve">           FY 2026 -      $ 245,000</w:t>
      </w:r>
      <w:r>
        <w:tab/>
      </w:r>
    </w:p>
    <w:p w14:paraId="0781E566" w14:textId="77777777" w:rsidR="002A6A80" w:rsidRDefault="00011695">
      <w:r>
        <w:t xml:space="preserve">           FY 2027 -      $ 353,000</w:t>
      </w:r>
      <w:r>
        <w:tab/>
      </w:r>
    </w:p>
    <w:p w14:paraId="1D4A401D" w14:textId="77777777" w:rsidR="002A6A80" w:rsidRDefault="00011695">
      <w:r>
        <w:t xml:space="preserve">           FY 2028 -      $ 469,000</w:t>
      </w:r>
      <w:r>
        <w:tab/>
      </w:r>
    </w:p>
    <w:p w14:paraId="448A6C01" w14:textId="77777777" w:rsidR="002A6A80" w:rsidRDefault="00011695">
      <w:r>
        <w:t xml:space="preserve">           FY 2029 -      </w:t>
      </w:r>
      <w:r>
        <w:t>$ 593,000</w:t>
      </w:r>
      <w:r>
        <w:tab/>
      </w:r>
    </w:p>
    <w:p w14:paraId="0D5E498B" w14:textId="77777777" w:rsidR="002A6A80" w:rsidRDefault="00011695">
      <w:r>
        <w:tab/>
      </w:r>
    </w:p>
    <w:p w14:paraId="7538118A" w14:textId="77777777" w:rsidR="002A6A80" w:rsidRDefault="00011695">
      <w:r>
        <w:t xml:space="preserve">      Local Government, if applicable (cash basis, $000):</w:t>
      </w:r>
      <w:r>
        <w:tab/>
      </w:r>
    </w:p>
    <w:p w14:paraId="0305D63E" w14:textId="77777777" w:rsidR="002A6A80" w:rsidRDefault="00011695">
      <w:r>
        <w:t xml:space="preserve">           FY 2024 -      $   60,000</w:t>
      </w:r>
      <w:r>
        <w:tab/>
      </w:r>
    </w:p>
    <w:p w14:paraId="11F8CCC9" w14:textId="77777777" w:rsidR="002A6A80" w:rsidRDefault="00011695">
      <w:r>
        <w:t xml:space="preserve">           FY 2025 -      $ 179,000</w:t>
      </w:r>
      <w:r>
        <w:tab/>
      </w:r>
    </w:p>
    <w:p w14:paraId="10D500B5" w14:textId="77777777" w:rsidR="002A6A80" w:rsidRDefault="00011695">
      <w:r>
        <w:t xml:space="preserve">           FY 2026 -      $ 303,000</w:t>
      </w:r>
      <w:r>
        <w:tab/>
      </w:r>
    </w:p>
    <w:p w14:paraId="5688E762" w14:textId="77777777" w:rsidR="002A6A80" w:rsidRDefault="00011695">
      <w:r>
        <w:t xml:space="preserve">           FY 2027 -      $ 433,000</w:t>
      </w:r>
      <w:r>
        <w:tab/>
      </w:r>
    </w:p>
    <w:p w14:paraId="5D218D51" w14:textId="77777777" w:rsidR="002A6A80" w:rsidRDefault="00011695">
      <w:r>
        <w:t xml:space="preserve">           FY 2028 -      $ 571,000</w:t>
      </w:r>
      <w:r>
        <w:tab/>
      </w:r>
    </w:p>
    <w:p w14:paraId="6B3739C9" w14:textId="77777777" w:rsidR="002A6A80" w:rsidRDefault="00011695">
      <w:r>
        <w:t xml:space="preserve">           FY 2029 -      $ 719,000</w:t>
      </w:r>
    </w:p>
    <w:p w14:paraId="40B0BA4C" w14:textId="77777777" w:rsidR="002A6A80" w:rsidRDefault="002A6A80"/>
    <w:p w14:paraId="56E7CD33" w14:textId="77777777" w:rsidR="002A6A80" w:rsidRDefault="00011695">
      <w:r>
        <w:t>DETAIL OF REVENUE IMPACT FOR PROPERTY TAX BILLS, Calendar Year Basis:</w:t>
      </w:r>
    </w:p>
    <w:p w14:paraId="15B80455" w14:textId="77777777" w:rsidR="002A6A80" w:rsidRDefault="00011695">
      <w:r>
        <w:t xml:space="preserve">     </w:t>
      </w:r>
    </w:p>
    <w:p w14:paraId="4F8AEC72" w14:textId="77777777" w:rsidR="002A6A80" w:rsidRDefault="00011695">
      <w:r>
        <w:t xml:space="preserve">      State Government, Impact on Revenues ($000):</w:t>
      </w:r>
    </w:p>
    <w:p w14:paraId="1F9DBAC4" w14:textId="77777777" w:rsidR="002A6A80" w:rsidRDefault="00011695">
      <w:r>
        <w:t xml:space="preserve">           CY 2024 -      $   92,000</w:t>
      </w:r>
      <w:r>
        <w:tab/>
      </w:r>
    </w:p>
    <w:p w14:paraId="0112B385" w14:textId="77777777" w:rsidR="002A6A80" w:rsidRDefault="00011695">
      <w:r>
        <w:t xml:space="preserve">           CY 2025 -      $ 190,000</w:t>
      </w:r>
      <w:r>
        <w:tab/>
      </w:r>
    </w:p>
    <w:p w14:paraId="457D9F47" w14:textId="77777777" w:rsidR="002A6A80" w:rsidRDefault="00011695">
      <w:r>
        <w:t xml:space="preserve">           CY 2</w:t>
      </w:r>
      <w:r>
        <w:t>026 -      $ 295,000</w:t>
      </w:r>
      <w:r>
        <w:tab/>
      </w:r>
    </w:p>
    <w:p w14:paraId="7F5435D7" w14:textId="77777777" w:rsidR="002A6A80" w:rsidRDefault="00011695">
      <w:r>
        <w:t xml:space="preserve">           CY 2027 -      $ 407,000</w:t>
      </w:r>
      <w:r>
        <w:tab/>
      </w:r>
    </w:p>
    <w:p w14:paraId="5CA2769C" w14:textId="77777777" w:rsidR="002A6A80" w:rsidRDefault="00011695">
      <w:r>
        <w:t xml:space="preserve">           CY 2028 -      $ 526,000</w:t>
      </w:r>
      <w:r>
        <w:tab/>
      </w:r>
    </w:p>
    <w:p w14:paraId="5FAD221A" w14:textId="77777777" w:rsidR="002A6A80" w:rsidRDefault="00011695">
      <w:r>
        <w:t xml:space="preserve">           CY 2029 -      $ 654,000</w:t>
      </w:r>
      <w:r>
        <w:tab/>
      </w:r>
    </w:p>
    <w:p w14:paraId="10021AB6" w14:textId="77777777" w:rsidR="002A6A80" w:rsidRDefault="00011695">
      <w:r>
        <w:tab/>
      </w:r>
    </w:p>
    <w:p w14:paraId="3BC774BC" w14:textId="77777777" w:rsidR="002A6A80" w:rsidRDefault="00011695">
      <w:r>
        <w:t xml:space="preserve">      State Government, ($000), Shift of Tax Burden:</w:t>
      </w:r>
    </w:p>
    <w:p w14:paraId="6DD6281C" w14:textId="77777777" w:rsidR="002A6A80" w:rsidRDefault="00011695">
      <w:r>
        <w:t xml:space="preserve">           CY 2024 -      $ 5,200</w:t>
      </w:r>
      <w:r>
        <w:tab/>
      </w:r>
    </w:p>
    <w:p w14:paraId="4BCDB5E1" w14:textId="77777777" w:rsidR="002A6A80" w:rsidRDefault="00011695">
      <w:r>
        <w:t xml:space="preserve">           CY 2025 -      $ 5,300</w:t>
      </w:r>
      <w:r>
        <w:tab/>
      </w:r>
    </w:p>
    <w:p w14:paraId="2DC74E62" w14:textId="77777777" w:rsidR="002A6A80" w:rsidRDefault="00011695">
      <w:r>
        <w:t xml:space="preserve">           CY 2026 -      $ 5,400</w:t>
      </w:r>
      <w:r>
        <w:tab/>
      </w:r>
    </w:p>
    <w:p w14:paraId="5216D0AE" w14:textId="77777777" w:rsidR="002A6A80" w:rsidRDefault="00011695">
      <w:r>
        <w:t xml:space="preserve">           CY 2027 -      $ 5,600</w:t>
      </w:r>
      <w:r>
        <w:tab/>
      </w:r>
    </w:p>
    <w:p w14:paraId="50507D33" w14:textId="77777777" w:rsidR="002A6A80" w:rsidRDefault="00011695">
      <w:r>
        <w:t xml:space="preserve">           CY 2028 -      $ 5,700</w:t>
      </w:r>
      <w:r>
        <w:tab/>
      </w:r>
    </w:p>
    <w:p w14:paraId="3ADFED23" w14:textId="77777777" w:rsidR="002A6A80" w:rsidRDefault="00011695">
      <w:r>
        <w:t xml:space="preserve">           CY 2029 -      $ 5,900</w:t>
      </w:r>
      <w:r>
        <w:tab/>
      </w:r>
    </w:p>
    <w:p w14:paraId="3B9928DD" w14:textId="77777777" w:rsidR="002A6A80" w:rsidRDefault="00011695">
      <w:r>
        <w:tab/>
      </w:r>
    </w:p>
    <w:p w14:paraId="7DC17542" w14:textId="77777777" w:rsidR="002A6A80" w:rsidRDefault="00011695">
      <w:r>
        <w:t xml:space="preserve">      Local Government, Impact on Revenues ($000)</w:t>
      </w:r>
      <w:r>
        <w:tab/>
        <w:t>:</w:t>
      </w:r>
    </w:p>
    <w:p w14:paraId="01BC500E" w14:textId="77777777" w:rsidR="002A6A80" w:rsidRDefault="00011695">
      <w:r>
        <w:t xml:space="preserve">           CY 2024 -      $</w:t>
      </w:r>
      <w:r>
        <w:t xml:space="preserve"> 115,000</w:t>
      </w:r>
      <w:r>
        <w:tab/>
      </w:r>
    </w:p>
    <w:p w14:paraId="3057CBEE" w14:textId="77777777" w:rsidR="002A6A80" w:rsidRDefault="00011695">
      <w:r>
        <w:t xml:space="preserve">           CY 2025 -      $ 237,000</w:t>
      </w:r>
      <w:r>
        <w:tab/>
      </w:r>
    </w:p>
    <w:p w14:paraId="33372EB3" w14:textId="77777777" w:rsidR="002A6A80" w:rsidRDefault="00011695">
      <w:r>
        <w:t xml:space="preserve">           CY 2026 -      $ 363,000</w:t>
      </w:r>
      <w:r>
        <w:tab/>
      </w:r>
    </w:p>
    <w:p w14:paraId="67074D36" w14:textId="77777777" w:rsidR="002A6A80" w:rsidRDefault="00011695">
      <w:r>
        <w:t xml:space="preserve">           CY 2027 -      $ 496,000</w:t>
      </w:r>
      <w:r>
        <w:tab/>
      </w:r>
    </w:p>
    <w:p w14:paraId="1E29F5B3" w14:textId="77777777" w:rsidR="002A6A80" w:rsidRDefault="00011695">
      <w:r>
        <w:t xml:space="preserve">           CY 2028 -      $ 640,000</w:t>
      </w:r>
      <w:r>
        <w:tab/>
      </w:r>
    </w:p>
    <w:p w14:paraId="4AC388C7" w14:textId="77777777" w:rsidR="002A6A80" w:rsidRDefault="00011695">
      <w:r>
        <w:t xml:space="preserve">           CY 2029 -      $ 792,000</w:t>
      </w:r>
      <w:r>
        <w:tab/>
      </w:r>
    </w:p>
    <w:p w14:paraId="4A630F56" w14:textId="77777777" w:rsidR="002A6A80" w:rsidRDefault="00011695">
      <w:r>
        <w:tab/>
      </w:r>
    </w:p>
    <w:p w14:paraId="5550364D" w14:textId="77777777" w:rsidR="002A6A80" w:rsidRDefault="00011695">
      <w:r>
        <w:t xml:space="preserve">      Local Government, ($000), Shift of Tax Burden: None</w:t>
      </w:r>
    </w:p>
    <w:p w14:paraId="013FFC92" w14:textId="77777777" w:rsidR="00417139" w:rsidRPr="00592BDF" w:rsidRDefault="00417139" w:rsidP="00592BDF">
      <w:bookmarkStart w:id="23" w:name="RevenueImpact"/>
      <w:bookmarkEnd w:id="23"/>
      <w:r>
        <w:t xml:space="preserve"> </w:t>
      </w:r>
    </w:p>
    <w:p w14:paraId="0EC9234A" w14:textId="77777777" w:rsidR="00592BDF" w:rsidRDefault="00417139" w:rsidP="000D4FB3">
      <w:pPr>
        <w:outlineLvl w:val="0"/>
        <w:rPr>
          <w:b/>
        </w:rPr>
      </w:pPr>
      <w:r>
        <w:rPr>
          <w:b/>
        </w:rPr>
        <w:t xml:space="preserve">II. C - Expenditure Impact </w:t>
      </w:r>
    </w:p>
    <w:p w14:paraId="555B94D7" w14:textId="77777777" w:rsidR="0019409E" w:rsidRPr="00D20FC9" w:rsidRDefault="0019409E" w:rsidP="000D4FB3">
      <w:pPr>
        <w:outlineLvl w:val="0"/>
        <w:rPr>
          <w:b/>
        </w:rPr>
      </w:pPr>
    </w:p>
    <w:p w14:paraId="3569E1F9" w14:textId="62BD3FC8" w:rsidR="002A6A80" w:rsidRDefault="006F23BC">
      <w:r>
        <w:t>In process</w:t>
      </w:r>
    </w:p>
    <w:p w14:paraId="3A0ED1CB" w14:textId="185A681E" w:rsidR="00417139" w:rsidRDefault="00417139" w:rsidP="00A77471">
      <w:bookmarkStart w:id="24" w:name="ExpenditureImpact"/>
      <w:bookmarkEnd w:id="24"/>
    </w:p>
    <w:sectPr w:rsidR="00417139" w:rsidSect="007753A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E2BA" w14:textId="77777777" w:rsidR="00011695" w:rsidRDefault="00011695">
      <w:r>
        <w:separator/>
      </w:r>
    </w:p>
  </w:endnote>
  <w:endnote w:type="continuationSeparator" w:id="0">
    <w:p w14:paraId="10E67937" w14:textId="77777777" w:rsidR="00011695" w:rsidRDefault="0001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311E" w14:textId="77777777" w:rsidR="00417139" w:rsidRDefault="0041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6AFD" w14:textId="77777777" w:rsidR="00417139" w:rsidRDefault="00417139">
    <w:pPr>
      <w:pStyle w:val="Footer"/>
    </w:pPr>
    <w:r>
      <w:t>OFM Form FN (10/95)</w:t>
    </w:r>
    <w:r>
      <w:rPr>
        <w:rStyle w:val="PageNumber"/>
      </w:rPr>
      <w:tab/>
    </w:r>
  </w:p>
  <w:p w14:paraId="62BE4346" w14:textId="77777777" w:rsidR="00417139" w:rsidRDefault="00417139">
    <w:pPr>
      <w:pStyle w:val="Footer"/>
      <w:jc w:val="right"/>
    </w:pPr>
    <w:r>
      <w:t>Fiscal Note #</w:t>
    </w:r>
    <w:bookmarkStart w:id="25" w:name="RequestNo"/>
    <w:bookmarkEnd w:id="25"/>
    <w:r>
      <w:t xml:space="preserve"> 5770-1</w:t>
    </w:r>
  </w:p>
  <w:p w14:paraId="3827CCB1" w14:textId="77777777" w:rsidR="00417139" w:rsidRDefault="00417139">
    <w:pPr>
      <w:pStyle w:val="Footer"/>
      <w:jc w:val="right"/>
    </w:pPr>
    <w:r>
      <w:t>Bill #</w:t>
    </w:r>
    <w:bookmarkStart w:id="26" w:name="BillNo"/>
    <w:bookmarkEnd w:id="26"/>
    <w:r>
      <w:t xml:space="preserve"> SB 5770</w:t>
    </w:r>
  </w:p>
  <w:p w14:paraId="69E46A3B" w14:textId="77777777" w:rsidR="00417139" w:rsidRDefault="006F699A">
    <w:pPr>
      <w:pStyle w:val="Footer"/>
      <w:jc w:val="center"/>
    </w:pPr>
    <w:r>
      <w:rPr>
        <w:rStyle w:val="PageNumber"/>
      </w:rPr>
      <w:fldChar w:fldCharType="begin"/>
    </w:r>
    <w:r w:rsidR="00417139">
      <w:rPr>
        <w:rStyle w:val="PageNumber"/>
      </w:rPr>
      <w:instrText xml:space="preserve"> PAGE </w:instrText>
    </w:r>
    <w:r>
      <w:rPr>
        <w:rStyle w:val="PageNumber"/>
      </w:rPr>
      <w:fldChar w:fldCharType="separate"/>
    </w:r>
    <w:r w:rsidR="0019409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D2A4" w14:textId="77777777" w:rsidR="00417139" w:rsidRDefault="0041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7952" w14:textId="77777777" w:rsidR="00011695" w:rsidRDefault="00011695">
      <w:r>
        <w:separator/>
      </w:r>
    </w:p>
  </w:footnote>
  <w:footnote w:type="continuationSeparator" w:id="0">
    <w:p w14:paraId="3B7A68ED" w14:textId="77777777" w:rsidR="00011695" w:rsidRDefault="0001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82AD" w14:textId="77777777" w:rsidR="00417139" w:rsidRDefault="00011695">
    <w:pPr>
      <w:pStyle w:val="Header"/>
    </w:pPr>
    <w:r>
      <w:rPr>
        <w:noProof/>
      </w:rPr>
      <w:pict w14:anchorId="5B9CB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21ED" w14:textId="77777777" w:rsidR="00417139" w:rsidRPr="00742B8C" w:rsidRDefault="00011695" w:rsidP="00742B8C">
    <w:pPr>
      <w:pStyle w:val="Heading1"/>
      <w:spacing w:before="0" w:after="0"/>
      <w:jc w:val="right"/>
      <w:rPr>
        <w:i/>
        <w:color w:val="FF0000"/>
        <w:sz w:val="44"/>
        <w:szCs w:val="44"/>
      </w:rPr>
    </w:pPr>
    <w:r>
      <w:rPr>
        <w:noProof/>
      </w:rPr>
      <w:pict w14:anchorId="26113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left:0;text-align:left;margin-left:0;margin-top:0;width:543.8pt;height:21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BD46" w14:textId="77777777" w:rsidR="00417139" w:rsidRDefault="00011695">
    <w:pPr>
      <w:pStyle w:val="Header"/>
    </w:pPr>
    <w:r>
      <w:rPr>
        <w:noProof/>
      </w:rPr>
      <w:pict w14:anchorId="7CE8C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611A3"/>
    <w:multiLevelType w:val="hybridMultilevel"/>
    <w:tmpl w:val="4476E0C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900231"/>
    <w:multiLevelType w:val="hybridMultilevel"/>
    <w:tmpl w:val="5EA2EF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29318657">
    <w:abstractNumId w:val="1"/>
  </w:num>
  <w:num w:numId="2" w16cid:durableId="163899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3124"/>
    <w:rsid w:val="00007361"/>
    <w:rsid w:val="00011695"/>
    <w:rsid w:val="000121EB"/>
    <w:rsid w:val="000171AD"/>
    <w:rsid w:val="00024C30"/>
    <w:rsid w:val="000D072F"/>
    <w:rsid w:val="000D4FB3"/>
    <w:rsid w:val="000E728A"/>
    <w:rsid w:val="000E780F"/>
    <w:rsid w:val="000F0A72"/>
    <w:rsid w:val="00155A38"/>
    <w:rsid w:val="00156C70"/>
    <w:rsid w:val="00167217"/>
    <w:rsid w:val="0019409E"/>
    <w:rsid w:val="001B58B6"/>
    <w:rsid w:val="001E090C"/>
    <w:rsid w:val="001E0D8C"/>
    <w:rsid w:val="002034E9"/>
    <w:rsid w:val="002530E3"/>
    <w:rsid w:val="002753D9"/>
    <w:rsid w:val="00282054"/>
    <w:rsid w:val="002A46D0"/>
    <w:rsid w:val="002A6A80"/>
    <w:rsid w:val="00324144"/>
    <w:rsid w:val="00350476"/>
    <w:rsid w:val="00351272"/>
    <w:rsid w:val="003636E1"/>
    <w:rsid w:val="00366F6F"/>
    <w:rsid w:val="00393D63"/>
    <w:rsid w:val="003C01C8"/>
    <w:rsid w:val="003C03C2"/>
    <w:rsid w:val="00417139"/>
    <w:rsid w:val="004210A3"/>
    <w:rsid w:val="00421FBE"/>
    <w:rsid w:val="004500BF"/>
    <w:rsid w:val="00470E95"/>
    <w:rsid w:val="00485E0C"/>
    <w:rsid w:val="00495F24"/>
    <w:rsid w:val="004D3544"/>
    <w:rsid w:val="004E5704"/>
    <w:rsid w:val="00546DD3"/>
    <w:rsid w:val="00563124"/>
    <w:rsid w:val="005752C7"/>
    <w:rsid w:val="00592BDF"/>
    <w:rsid w:val="005A44BC"/>
    <w:rsid w:val="005B727F"/>
    <w:rsid w:val="00606764"/>
    <w:rsid w:val="00622148"/>
    <w:rsid w:val="00660295"/>
    <w:rsid w:val="006B439A"/>
    <w:rsid w:val="006D106A"/>
    <w:rsid w:val="006F23BC"/>
    <w:rsid w:val="006F2845"/>
    <w:rsid w:val="006F699A"/>
    <w:rsid w:val="007050B8"/>
    <w:rsid w:val="00711A3B"/>
    <w:rsid w:val="00742B8C"/>
    <w:rsid w:val="007753AC"/>
    <w:rsid w:val="007C5306"/>
    <w:rsid w:val="007D77D6"/>
    <w:rsid w:val="008132F8"/>
    <w:rsid w:val="008505D1"/>
    <w:rsid w:val="008571C7"/>
    <w:rsid w:val="008714A8"/>
    <w:rsid w:val="008733F4"/>
    <w:rsid w:val="00890A20"/>
    <w:rsid w:val="008A0145"/>
    <w:rsid w:val="008A167A"/>
    <w:rsid w:val="008B7B39"/>
    <w:rsid w:val="008D6066"/>
    <w:rsid w:val="008E6F1D"/>
    <w:rsid w:val="008F7A81"/>
    <w:rsid w:val="0091654E"/>
    <w:rsid w:val="00940737"/>
    <w:rsid w:val="0095430A"/>
    <w:rsid w:val="009A1F00"/>
    <w:rsid w:val="009D3207"/>
    <w:rsid w:val="009F016B"/>
    <w:rsid w:val="00A12CAE"/>
    <w:rsid w:val="00A16258"/>
    <w:rsid w:val="00A53CE3"/>
    <w:rsid w:val="00A73614"/>
    <w:rsid w:val="00A77471"/>
    <w:rsid w:val="00A90A7E"/>
    <w:rsid w:val="00AB06F9"/>
    <w:rsid w:val="00AB350F"/>
    <w:rsid w:val="00AC7CA3"/>
    <w:rsid w:val="00AD585D"/>
    <w:rsid w:val="00B02C32"/>
    <w:rsid w:val="00B246A6"/>
    <w:rsid w:val="00B41EA9"/>
    <w:rsid w:val="00B4767A"/>
    <w:rsid w:val="00BB4EB1"/>
    <w:rsid w:val="00BC01C1"/>
    <w:rsid w:val="00C21800"/>
    <w:rsid w:val="00C4662A"/>
    <w:rsid w:val="00C557A4"/>
    <w:rsid w:val="00C6216D"/>
    <w:rsid w:val="00C7622A"/>
    <w:rsid w:val="00C812B7"/>
    <w:rsid w:val="00C85D9C"/>
    <w:rsid w:val="00C91230"/>
    <w:rsid w:val="00CA2486"/>
    <w:rsid w:val="00CF3EE6"/>
    <w:rsid w:val="00D20FC9"/>
    <w:rsid w:val="00D26F8E"/>
    <w:rsid w:val="00D50904"/>
    <w:rsid w:val="00D87344"/>
    <w:rsid w:val="00DE5B15"/>
    <w:rsid w:val="00DE7912"/>
    <w:rsid w:val="00DF1F94"/>
    <w:rsid w:val="00E62007"/>
    <w:rsid w:val="00E92F88"/>
    <w:rsid w:val="00E9326B"/>
    <w:rsid w:val="00EB49D9"/>
    <w:rsid w:val="00EE34B9"/>
    <w:rsid w:val="00F33736"/>
    <w:rsid w:val="00F40F0A"/>
    <w:rsid w:val="00F6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28A19A"/>
  <w15:docId w15:val="{799D53B2-F4E1-491C-92C8-19A03E41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D9"/>
    <w:rPr>
      <w:sz w:val="22"/>
    </w:rPr>
  </w:style>
  <w:style w:type="paragraph" w:styleId="Heading1">
    <w:name w:val="heading 1"/>
    <w:basedOn w:val="Normal"/>
    <w:next w:val="Normal"/>
    <w:link w:val="Heading1Char"/>
    <w:uiPriority w:val="99"/>
    <w:qFormat/>
    <w:rsid w:val="009D320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1"/>
    <w:uiPriority w:val="99"/>
    <w:qFormat/>
    <w:rsid w:val="009D32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145"/>
    <w:rPr>
      <w:rFonts w:ascii="Cambria" w:hAnsi="Cambria" w:cs="Times New Roman"/>
      <w:b/>
      <w:bCs/>
      <w:kern w:val="32"/>
      <w:sz w:val="32"/>
      <w:szCs w:val="32"/>
    </w:rPr>
  </w:style>
  <w:style w:type="character" w:customStyle="1" w:styleId="Heading3Char">
    <w:name w:val="Heading 3 Char"/>
    <w:basedOn w:val="DefaultParagraphFont"/>
    <w:uiPriority w:val="99"/>
    <w:semiHidden/>
    <w:locked/>
    <w:rsid w:val="008A0145"/>
    <w:rPr>
      <w:rFonts w:ascii="Cambria" w:hAnsi="Cambria" w:cs="Times New Roman"/>
      <w:b/>
      <w:bCs/>
      <w:sz w:val="26"/>
      <w:szCs w:val="26"/>
    </w:rPr>
  </w:style>
  <w:style w:type="paragraph" w:styleId="Header">
    <w:name w:val="header"/>
    <w:basedOn w:val="Normal"/>
    <w:link w:val="HeaderChar"/>
    <w:uiPriority w:val="99"/>
    <w:rsid w:val="002753D9"/>
    <w:pPr>
      <w:tabs>
        <w:tab w:val="center" w:pos="4320"/>
        <w:tab w:val="right" w:pos="8640"/>
      </w:tabs>
    </w:pPr>
  </w:style>
  <w:style w:type="character" w:customStyle="1" w:styleId="HeaderChar">
    <w:name w:val="Header Char"/>
    <w:basedOn w:val="DefaultParagraphFont"/>
    <w:link w:val="Header"/>
    <w:uiPriority w:val="99"/>
    <w:semiHidden/>
    <w:locked/>
    <w:rsid w:val="008A0145"/>
    <w:rPr>
      <w:rFonts w:cs="Times New Roman"/>
      <w:sz w:val="20"/>
      <w:szCs w:val="20"/>
    </w:rPr>
  </w:style>
  <w:style w:type="paragraph" w:styleId="Footer">
    <w:name w:val="footer"/>
    <w:basedOn w:val="Normal"/>
    <w:link w:val="FooterChar"/>
    <w:uiPriority w:val="99"/>
    <w:rsid w:val="002753D9"/>
    <w:pPr>
      <w:tabs>
        <w:tab w:val="center" w:pos="4320"/>
        <w:tab w:val="right" w:pos="8640"/>
      </w:tabs>
    </w:pPr>
  </w:style>
  <w:style w:type="character" w:customStyle="1" w:styleId="FooterChar">
    <w:name w:val="Footer Char"/>
    <w:basedOn w:val="DefaultParagraphFont"/>
    <w:link w:val="Footer"/>
    <w:uiPriority w:val="99"/>
    <w:semiHidden/>
    <w:locked/>
    <w:rsid w:val="008A0145"/>
    <w:rPr>
      <w:rFonts w:cs="Times New Roman"/>
      <w:sz w:val="20"/>
      <w:szCs w:val="20"/>
    </w:rPr>
  </w:style>
  <w:style w:type="character" w:styleId="PageNumber">
    <w:name w:val="page number"/>
    <w:basedOn w:val="DefaultParagraphFont"/>
    <w:uiPriority w:val="99"/>
    <w:rsid w:val="002753D9"/>
    <w:rPr>
      <w:rFonts w:cs="Times New Roman"/>
    </w:rPr>
  </w:style>
  <w:style w:type="paragraph" w:styleId="DocumentMap">
    <w:name w:val="Document Map"/>
    <w:basedOn w:val="Normal"/>
    <w:link w:val="DocumentMapChar"/>
    <w:uiPriority w:val="99"/>
    <w:semiHidden/>
    <w:rsid w:val="002753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8A0145"/>
    <w:rPr>
      <w:rFonts w:cs="Times New Roman"/>
      <w:sz w:val="2"/>
    </w:rPr>
  </w:style>
  <w:style w:type="table" w:styleId="TableGrid">
    <w:name w:val="Table Grid"/>
    <w:basedOn w:val="TableNormal"/>
    <w:uiPriority w:val="99"/>
    <w:rsid w:val="009D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link w:val="Heading3"/>
    <w:uiPriority w:val="99"/>
    <w:locked/>
    <w:rsid w:val="009D3207"/>
    <w:rPr>
      <w:rFonts w:ascii="Arial" w:hAnsi="Arial" w:cs="Arial"/>
      <w:b/>
      <w:bCs/>
      <w:sz w:val="26"/>
      <w:szCs w:val="26"/>
      <w:lang w:val="en-US" w:eastAsia="en-US" w:bidi="ar-SA"/>
    </w:rPr>
  </w:style>
  <w:style w:type="paragraph" w:styleId="Caption">
    <w:name w:val="caption"/>
    <w:basedOn w:val="Normal"/>
    <w:next w:val="Normal"/>
    <w:uiPriority w:val="99"/>
    <w:qFormat/>
    <w:rsid w:val="009D3207"/>
    <w:pPr>
      <w:spacing w:before="120" w:after="120"/>
    </w:pPr>
    <w:rPr>
      <w:b/>
      <w:bCs/>
      <w:sz w:val="20"/>
    </w:rPr>
  </w:style>
  <w:style w:type="paragraph" w:styleId="BalloonText">
    <w:name w:val="Balloon Text"/>
    <w:basedOn w:val="Normal"/>
    <w:link w:val="BalloonTextChar"/>
    <w:uiPriority w:val="99"/>
    <w:semiHidden/>
    <w:rsid w:val="00EB4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145"/>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28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6334-8183-495F-B040-D43E7C31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7479</Characters>
  <Application>Microsoft Office Word</Application>
  <DocSecurity>0</DocSecurity>
  <Lines>62</Lines>
  <Paragraphs>17</Paragraphs>
  <ScaleCrop>false</ScaleCrop>
  <Company>State of Washington</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danis140</dc:creator>
  <cp:keywords/>
  <dc:description/>
  <cp:lastModifiedBy>danis140</cp:lastModifiedBy>
  <cp:revision>4</cp:revision>
  <cp:lastPrinted>2004-07-02T23:43:00Z</cp:lastPrinted>
  <dcterms:created xsi:type="dcterms:W3CDTF">2011-03-24T15:58:00Z</dcterms:created>
  <dcterms:modified xsi:type="dcterms:W3CDTF">2012-01-27T22:55:00Z</dcterms:modified>
</cp:coreProperties>
</file>